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https://www.autoritedelaconcurrence.fr/fr/decision-de-controle-des-concentrations/relative-la-prise-de-controle-exclusif-de-la-societe-393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23-DCC-047 of March 14, 2023  </w:t>
        <w:br/>
        <w:t xml:space="preserve">regarding the exclusive control acquisition of the company Mogatec by the  </w:t>
        <w:br/>
        <w:t>Stihl group</w:t>
      </w:r>
    </w:p>
    <w:p>
      <w:r>
        <w:t>The Competition Authority,</w:t>
      </w:r>
    </w:p>
    <w:p>
      <w:r>
        <w:t xml:space="preserve">Having regard to the notification file submitted in full to the mergers department on February 20, 2023,  </w:t>
        <w:br/>
        <w:t xml:space="preserve">concerning the exclusive control acquisition of the company Mogatec by the Stihl group, formalized by  </w:t>
        <w:br/>
        <w:t>a sale and share transfer agreement dated December 20, 2022;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of the company Mogatec, active in  </w:t>
        <w:br/>
        <w:t>the sector of supplying electric gardening products, by the company Stihl International GmbH, a wholly-owned subsidiary of the Stihl group.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I* of Article L. 430-2 of the Commercial Code are exceeded. This operation is therefore subject to the provisions of Articles L. 430-3 and following of the Commercial Code relating to economic concentration.</w:t>
      </w:r>
    </w:p>
    <w:p>
      <w:r>
        <w:t xml:space="preserve">2. In light of the elements of the file, the operation is not likely to harm competition in the relevant markets.  </w:t>
        <w:br/>
        <w:t>* Correction of material error</w:t>
      </w:r>
    </w:p>
    <w:p>
      <w:r>
        <w:t xml:space="preserve">DECIDES  </w:t>
        <w:br/>
        <w:t xml:space="preserve">Sole Article: The operation notified under number 23-011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