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https://www.autoritedelaconcurrence.fr/fr/decision-de-controle-des-concentrations/relative-la-prise-de-controle-exclusif-de-la-societe-394</w:t>
      </w:r>
    </w:p>
    <w:p>
      <w:r>
        <w:t>Pages translated : 2</w:t>
      </w:r>
    </w:p>
    <w:p/>
    <w:p>
      <w:r>
        <w:rPr>
          <w:b/>
        </w:rPr>
        <w:t>[Pages 1–2]</w:t>
      </w:r>
    </w:p>
    <w:p>
      <w:r>
        <w:t xml:space="preserve">FRENCH REPUBLIC  </w:t>
        <w:br/>
        <w:t xml:space="preserve">Decision No. 23-DCC-56 of March 20, 2023  </w:t>
        <w:br/>
        <w:t xml:space="preserve">regarding the exclusive control acquisition of the company Vauclusienne Automobile by the Grim group  </w:t>
        <w:br/>
        <w:t xml:space="preserve">The Competition Authority,  </w:t>
        <w:br/>
        <w:t xml:space="preserve">Having regard to the notification file submitted complete to the mergers department on March 2, 2023,  </w:t>
        <w:br/>
        <w:t xml:space="preserve">concerning the exclusive control acquisition of the company Vauclusienne Automobile by the Grim group,  </w:t>
        <w:br/>
        <w:t xml:space="preserve">formalized by a letter of intent dated February 7, 2023;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Vauclusienne Automobile, active in the automotive distribution sector in Volx (04), Gap (05), and Le Pontet (84) by the Grim group, active in the same sector. It constitutes a concentration operation within the meaning of Article L. 430-1 of the Commercial Code. Given the turnover achieved by the concerned companies,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23-044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