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https://www.autoritedelaconcurrence.fr/fr/decision-de-controle-des-concentrations/relative-la-prise-de-controle-exclusif-de-la-societe-395</w:t>
      </w:r>
    </w:p>
    <w:p>
      <w:r>
        <w:t>Pages translated : 2</w:t>
      </w:r>
    </w:p>
    <w:p/>
    <w:p>
      <w:r>
        <w:rPr>
          <w:b/>
        </w:rPr>
        <w:t>[Pages 1–2]</w:t>
      </w:r>
    </w:p>
    <w:p>
      <w:r>
        <w:t xml:space="preserve">FRENCH REPUBLIC  </w:t>
        <w:br/>
        <w:t xml:space="preserve">Decision No. 23-DCC-59 of March 24, 2023  </w:t>
        <w:br/>
        <w:t xml:space="preserve">regarding the exclusive control acquisition of the company  </w:t>
        <w:br/>
        <w:t xml:space="preserve">Chambéry Automobile by the DBF group  </w:t>
        <w:br/>
        <w:t>The Competition Authority,</w:t>
      </w:r>
    </w:p>
    <w:p>
      <w:r>
        <w:t xml:space="preserve">Having regard to the complete notification file sent to the mergers department on March 8, 2023,  </w:t>
        <w:br/>
        <w:t xml:space="preserve">concerning the exclusive control acquisition by the DBF group of the company Chambéry Automobile,  </w:t>
        <w:br/>
        <w:t>formalized by an offer letter dated December 21, 2022;</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of the company Chambéry  </w:t>
        <w:br/>
        <w:t xml:space="preserve">Automobile, which operates several automotive distribution businesses in the department of Gironde (33), by the DBF group, which is itself active in the automotive distribution sector. It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