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https://www.autoritedelaconcurrence.fr/fr/decision-de-controle-des-concentrations/relative-la-prise-de-controle-exclusif-de-la-societe-396</w:t>
      </w:r>
    </w:p>
    <w:p>
      <w:r>
        <w:t>Pages translated : 2</w:t>
      </w:r>
    </w:p>
    <w:p/>
    <w:p>
      <w:r>
        <w:rPr>
          <w:b/>
        </w:rPr>
        <w:t>[Pages 1–2]</w:t>
      </w:r>
    </w:p>
    <w:p>
      <w:r>
        <w:t xml:space="preserve">FRENCH REPUBLIC  </w:t>
        <w:br/>
        <w:t xml:space="preserve">Decision No. 23-DCC-54 of March 20, 2023  </w:t>
        <w:br/>
        <w:t xml:space="preserve">regarding the exclusive control acquisition of the company  </w:t>
        <w:br/>
        <w:t xml:space="preserve">Girard by the Bernard group  </w:t>
        <w:br/>
        <w:t xml:space="preserve">The Competition Authority,  </w:t>
        <w:br/>
        <w:t xml:space="preserve">Having regard to the complete notification file submitted to the mergers department on February 27, 2023,  </w:t>
        <w:br/>
        <w:t xml:space="preserve">concerning the exclusive control acquisition by Bernard Participations, the holding company of the Bernard group, of the company Girard, formalized by a memorandum of understanding containing a promise to sell the shares of the company Girard dated February 24,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Girard, which operates several automotive distribution businesses in the department of Isère (38) by the Bernard group,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23-041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