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https://www.autoritedelaconcurrence.fr/fr/decision-de-controle-des-concentrations/relative-la-prise-de-controle-exclusif-de-la-societe-399</w:t>
      </w:r>
    </w:p>
    <w:p>
      <w:r>
        <w:t>Pages translated : 2</w:t>
      </w:r>
    </w:p>
    <w:p/>
    <w:p>
      <w:r>
        <w:rPr>
          <w:b/>
        </w:rPr>
        <w:t>[Pages 1–2]</w:t>
      </w:r>
    </w:p>
    <w:p>
      <w:r>
        <w:t xml:space="preserve">FRENCH REPUBLIC  </w:t>
        <w:br/>
        <w:t xml:space="preserve">Decision No. 23-DCC-83 of May 24, 2023  </w:t>
        <w:br/>
        <w:t xml:space="preserve">regarding the exclusive control acquisition of the company Lindera by the  </w:t>
        <w:br/>
        <w:t xml:space="preserve">company Consolidation et Développement Gestion  </w:t>
        <w:br/>
        <w:t xml:space="preserve">The Competition Authority,  </w:t>
        <w:br/>
        <w:t xml:space="preserve">Having regard to the complete notification file submitted to the mergers department on May 4, 2023, concerning the acquisition of control over Lindera SAS, the parent holding company of the Lindera group, and all its subsidiaries, by the company Consolidation et Développement Gestion, formalized by a share transfer and contribution agreement dated May 2,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Consolidation et Développement Gestion SAS of the company Lindera SAS and all its subsidiaries, active in the field of equipment and interior design of professional spaces. It constitutes a concentration operation within the meaning of Article L. 430-1 of the Commercial Code. Given the revenues generated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23-108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