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w:t>
      </w:r>
    </w:p>
    <w:p>
      <w:r>
        <w:t>Pages translated : 5</w:t>
      </w:r>
    </w:p>
    <w:p/>
    <w:p>
      <w:r>
        <w:rPr>
          <w:b/>
        </w:rPr>
        <w:t>[Pages 1–3]</w:t>
      </w:r>
    </w:p>
    <w:p>
      <w:r>
        <w:t xml:space="preserve">FRENCH REPUBLIC  </w:t>
        <w:br/>
        <w:t xml:space="preserve">Decision No. 09-DCC-74 of December 14, 2009  </w:t>
        <w:br/>
        <w:t xml:space="preserve">regarding the exclusive control of Lovefrance SAS by  </w:t>
        <w:br/>
        <w:t xml:space="preserve">Groupe Berto  </w:t>
        <w:br/>
        <w:t xml:space="preserve">The Competition Authority,  </w:t>
        <w:br/>
        <w:t xml:space="preserve">Having regard to the notification file submitted in full to the merger service on November 6, 2009, regarding the exclusive control of Lovefrance SAS by Groupe Berto, formalized by a share transfer protocol dated July 21, 2009;  </w:t>
        <w:br/>
        <w:t xml:space="preserve">Having regard to Book IV of the Commercial Code relating to the freedom of prices and competition, and in particular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1. Groupe Berto (hereinafter "Berto") is a company owned by the Berto family that is active in the sectors of industrial vehicle rental and freight transport. Berto has, through its 17 subsidiaries, 22 establishments located in France. In 2008, Berto's consolidated turnover excluding taxes amounted to 120 million euros, almost exclusively in France.  </w:t>
        <w:br/>
        <w:t xml:space="preserve">2. Lovefrance SAS (hereinafter "Lovefrance") is a company 85% owned by the Drouin family, 9% by the Institut de Participation de l’Ouest (a private equity investor in unlisted companies), and 6% by LVF Management. Lovefrance is active, through its nine subsidiaries, in the sector of industrial vehicle rental and freight transport. In 2008, Lovefrance's consolidated turnover excluding taxes amounted to 78 million euros, exclusively in France.  </w:t>
        <w:br/>
        <w:t>3. The operation, formalized by a share transfer protocol dated July 21, 2009, consists of Berto acquiring all the shares of Lovefrance and its subsidiaries.</w:t>
      </w:r>
    </w:p>
    <w:p>
      <w:r>
        <w:t xml:space="preserve">4. In that it results in the exclusive control of Lovefrance by Berto, the notified operation constitutes a concentration within the meaning of Article L. 430-1 of the Commercial Code. Given the turnover of the companies involved, it does not have a Community dimension. However, the control thresholds mentioned in point I of Article L. 430-2 of the Commercial Code are exceeded. The present operation is therefore subject to the provisions of Articles L. 430-3 and following of the Commercial Code relating to economic concentration.  </w:t>
        <w:br/>
        <w:t xml:space="preserve">II. Definition of Relevant Markets  </w:t>
        <w:br/>
        <w:t xml:space="preserve">5. The parties are simultaneously active in the sector of industrial vehicle rental.  </w:t>
        <w:br/>
        <w:t xml:space="preserve">6. They also engage in a marginal activity of road freight transport.  </w:t>
        <w:br/>
        <w:t xml:space="preserve">A. THE MARKET FOR INDUSTRIAL VEHICLE RENTAL  </w:t>
        <w:br/>
        <w:t xml:space="preserve">a) Delimitation by products and services  </w:t>
        <w:br/>
        <w:t xml:space="preserve">7. National competition authorities have considered distinguishing between rental services for industrial vehicles weighing up to 3.5 tons, those weighing between 3.5 and 15 tons, and those weighing over 15 tons. In this case, the parties' activities overlap almost exclusively in the segment of industrial vehicle rental over 15 tons.  </w:t>
        <w:br/>
        <w:t xml:space="preserve">8. However, it is possible in this case to leave the exact delimitation of the relevant market open, as the conclusions of the competitive analysis remain unchanged regardless of the definition adopted.  </w:t>
        <w:br/>
        <w:t xml:space="preserve">b) Geographical delimitation  </w:t>
        <w:br/>
        <w:t xml:space="preserve">9. National competition authorities, in previous decisions, have analyzed the effects of operations on the market for industrial vehicle rental at the national level, with the exception of short-term rental for which a local analysis was conducted. In this case, since the parties only engage in short-term rental marginally, the analysis will be conducted at the national level.  </w:t>
        <w:br/>
        <w:t xml:space="preserve">10. However, it is possible to leave the question of the exact delimitation of the market open, as the conclusions of the competitive analysis remain unchanged.  </w:t>
        <w:br/>
        <w:t xml:space="preserve">1 Letter from the Minister of Economy dated February 17, 2003, to the advisors of Eurazeo, letter from the Minister of Economy dated May 3, 2006, to the advisors of Eurazeo  </w:t>
        <w:br/>
        <w:t>2 Letter from the Minister of Economy dated February 17, 2003, to the advisors of Eurazeo, letter from the Minister of Economy dated May 3, 2006, to the advisors of Eurazeo mentioned above</w:t>
      </w:r>
    </w:p>
    <w:p>
      <w:r>
        <w:t xml:space="preserve">B) THE ROAD FREIGHT TRANSPORT MARKET  </w:t>
        <w:br/>
        <w:t xml:space="preserve">a) Delimitation by services  </w:t>
        <w:br/>
        <w:t xml:space="preserve">11. In the field of road transport, national decision-making practice has distinguished four types of service organization: full truckload, less-than-truckload or groupage, parcel delivery, and dedicated transport, with the corresponding services each constituting relevant markets.  </w:t>
        <w:br/>
        <w:t xml:space="preserve">12. In this case, the parties are simultaneously active in the market for road freight transport by full truckload and in the market for road freight transport by less-than-truckload or groupage.  </w:t>
        <w:br/>
        <w:t xml:space="preserve">13. The full truckload is chartered directly by shippers under contracts handled on an operation-by-operation basis.  </w:t>
        <w:br/>
        <w:t xml:space="preserve">14. Less-than-truckload or groupage transport involves collecting products, possibly from several manufacturers, in a defined geographical area, grouping them at a transit site, and transporting them to recipients in the same region.  </w:t>
        <w:br/>
        <w:t xml:space="preserve">b) Geographical delimitation  </w:t>
        <w:br/>
        <w:t xml:space="preserve">15. Generally, the European Commission has considered that the market for land freight transport is of national dimension. The Minister of Economy has, on several occasions, also recognized a national market dimension, particularly for road freight transport by less-than-truckload or groupage.  </w:t>
        <w:br/>
        <w:t xml:space="preserve">16. In this case, the analysis will be conducted at the national level.  </w:t>
        <w:br/>
        <w:t xml:space="preserve">III. Competitive Analysis  </w:t>
        <w:br/>
        <w:t xml:space="preserve">A. THE MARKET FOR INDUSTRIAL VEHICLE RENTAL  </w:t>
        <w:br/>
        <w:t xml:space="preserve">17. In the market for industrial vehicle rental, across all segments, the market share of the new entity following the operation will be less than 3%.  </w:t>
        <w:br/>
        <w:t xml:space="preserve">18. Regarding the sector of industrial vehicle rental over 15 tons, the main sector where the parties' activities overlap, the new entity will hold a national market share of approximately 6%.  </w:t>
        <w:br/>
        <w:t xml:space="preserve">19. The operation is therefore not likely to harm competition in the market for industrial vehicle rental.  </w:t>
        <w:br/>
        <w:t xml:space="preserve">3 Letter from the Minister of Economy dated January 6, 2006, to the advisors of STEF-TFE, letter from the Minister of Economy dated July 4, 2007, to the CEO of Transalliance SA.  </w:t>
        <w:br/>
        <w:t xml:space="preserve">4 Decision M. 1649 Gefco/KN Elan of September 30, 1999  </w:t>
        <w:br/>
        <w:t>5 Letter from the Minister dated November 22, 2002, regarding the Schenker/Joyau Transport operation, Letter from the Minister of Economy dated January 6, 2006, to the advisors of STEF-TFE, Letter from the Minister dated July 4, 2007, to the CEO of Transalliance mentioned above.</w:t>
      </w:r>
    </w:p>
    <w:p>
      <w:r>
        <w:rPr>
          <w:b/>
        </w:rPr>
        <w:t>[Pages 4–5]</w:t>
      </w:r>
    </w:p>
    <w:p>
      <w:r>
        <w:t xml:space="preserve">B. THE ROAD FREIGHT TRANSPORT MARKET  </w:t>
        <w:br/>
        <w:t xml:space="preserve">20. The parties have estimated that the market share of the new entity in the road freight transport market, across all segments, will be less than 1% and that it will not hold a market share exceeding 10% in either the full truckload road freight transport market or the less-than-truckload or groupage road freight transport market.  </w:t>
        <w:br/>
        <w:t xml:space="preserve">21. Furthermore, the new entity will face competition in these markets from players such as Gefco, Norbert Dentressangle, Transalliance, Geodis BM, and Giraud International, whose turnover is between 5 and 25 times greater than that of the new entity in the considered market.  </w:t>
        <w:br/>
        <w:t>22. The operation is therefore not likely to harm competition in this market.</w:t>
      </w:r>
    </w:p>
    <w:p>
      <w:r>
        <w:t xml:space="preserve">IV. Ancillary Restrictions  </w:t>
        <w:br/>
        <w:t xml:space="preserve">23. Article 6 of the share transfer protocol stipulates that the shareholders of Lovefrance, except for the Institut de Participation de l’Ouest, either alone or jointly with another natural or legal person, are prohibited from being involved, directly or indirectly, in any capacity for a period of 10 years from the date of transfer, in any activity identical to those of the parties, within the French territory. Likewise, they are prohibited from actively encouraging or facilitating the departure of the staff members of the parties, as well as from directly recruiting or having said staff recruited by a third party.  </w:t>
        <w:br/>
        <w:t xml:space="preserve">24. While a non-competition or non-solicitation clause may appear necessary for the acquirer to benefit from certain protection against competition from the seller, in order to be able to retain customers, as well as to assimilate and exploit know-how, they are only justified by the legitimate objective of achieving the concentration to the extent that their duration, territorial scope, and material and personal scope do not exceed what is reasonably necessary for this purpose.  </w:t>
        <w:br/>
        <w:t xml:space="preserve">25. Furthermore, the limitation on the seller's right to purchase or hold shares in a company that competes with the transferred activity cannot be considered directly related and necessary to the achievement of the concentration if it prevents the seller from purchasing or holding these shares solely for investment purposes, without granting them directly or indirectly, management functions or substantial influence in the competing company.  </w:t>
        <w:br/>
        <w:t>26. In this case, the non-competition and non-solicitation clause stipulated in Article 6 of the share transfer protocol constitutes a restriction that is directly related and necessary only to the extent of a duration of 3 years and insofar as it does not limit the ability of the transferors to purchase or hold shares in competing companies of the new entity for investment purposes, within the limits set out in paragraph 26 of this decision.</w:t>
      </w:r>
    </w:p>
    <w:p>
      <w:r>
        <w:t xml:space="preserve">DECIDES  </w:t>
        <w:br/>
        <w:t xml:space="preserve">Sole Article: The operation notified under number 09-0087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