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https://www.autoritedelaconcurrence.fr/fr/decision-de-controle-des-concentrations/relative-la-prise-de-controle-exclusif-de-la-societe-401</w:t>
      </w:r>
    </w:p>
    <w:p>
      <w:r>
        <w:t>Pages translated : 2</w:t>
      </w:r>
    </w:p>
    <w:p/>
    <w:p>
      <w:r>
        <w:rPr>
          <w:b/>
        </w:rPr>
        <w:t>[Pages 1–2]</w:t>
      </w:r>
    </w:p>
    <w:p>
      <w:r>
        <w:t xml:space="preserve">FRENCH REPUBLIC  </w:t>
        <w:br/>
        <w:t xml:space="preserve">Decision No. 23-DCC-105 of May 31, 2023  </w:t>
        <w:br/>
        <w:t xml:space="preserve">regarding the exclusive control acquisition of the company Provence Automobiles by the Chopard group  </w:t>
        <w:br/>
        <w:t xml:space="preserve">The Competition Authority,  </w:t>
        <w:br/>
        <w:t xml:space="preserve">Having regard to the complete notification file submitted to the mergers department on May 11, 2023, concerning the exclusive control acquisition by the Chopard group, through the company E.C.L., of the company Provence Automobiles, formalized by a share transfer agreement dated May 11,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Provence Automobiles, active in the automotive distribution sector, by the Chopard group, which is also active in this sector.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23-127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