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https://www.autoritedelaconcurrence.fr/fr/decision-de-controle-des-concentrations/relative-la-prise-de-controle-exclusif-de-la-societe-403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23-DCC-108 of June 7, 2023  </w:t>
        <w:br/>
        <w:t xml:space="preserve">regarding the exclusive control acquisition of the company Cumulus by  </w:t>
        <w:br/>
        <w:t xml:space="preserve">the company Brookfield Corporation  </w:t>
        <w:br/>
        <w:t xml:space="preserve">The Competition Authority,  </w:t>
        <w:br/>
        <w:t xml:space="preserve">Having regard to the complete notification file submitted to the mergers department on May 16, 2023,  </w:t>
        <w:br/>
        <w:t xml:space="preserve">concerning the exclusive control acquisition of the company Cumulus and all its subsidiaries by  </w:t>
        <w:br/>
        <w:t xml:space="preserve">the company Brookfield Corporation, formalized by the share purchase agreement of April 12,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Cumulus and its  </w:t>
        <w:br/>
        <w:t xml:space="preserve">subsidiaries by the company Brookfield Corporation, through the company Artemis Lux Bidco. The  </w:t>
        <w:br/>
        <w:t xml:space="preserve">target, as well as the acquirer, via its subsidiary TDF, are active in the market for colocation services  </w:t>
        <w:br/>
        <w:t xml:space="preserve">provided by external data centers. The operation constitutes a concentration operation within the meaning of  </w:t>
        <w:br/>
        <w:t xml:space="preserve">Article L. 430-1 of the Commercial Code. Given the revenues generated by the companies concerned, the  </w:t>
        <w:br/>
        <w:t xml:space="preserve">operation does not fall under the jurisdiction of the European Union. On the other hand, the control thresholds  </w:t>
        <w:br/>
        <w:t xml:space="preserve">mentioned in I of Article L. 430-2 of the Commercial Code are exceeded. This operation is therefore subject to  </w:t>
        <w:br/>
        <w:t xml:space="preserve">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23-099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