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https://www.autoritedelaconcurrence.fr/fr/decision-de-controle-des-concentrations/relative-la-prise-de-controle-exclusif-de-la-societe-407</w:t>
      </w:r>
    </w:p>
    <w:p>
      <w:r>
        <w:t>Pages translated : 2</w:t>
      </w:r>
    </w:p>
    <w:p/>
    <w:p>
      <w:r>
        <w:rPr>
          <w:b/>
        </w:rPr>
        <w:t>[Pages 1–2]</w:t>
      </w:r>
    </w:p>
    <w:p>
      <w:r>
        <w:t xml:space="preserve">FRENCH REPUBLIC  </w:t>
        <w:br/>
        <w:t xml:space="preserve">Decision No. 23-DCC-145 of July 18, 2023  </w:t>
        <w:br/>
        <w:t xml:space="preserve">regarding the exclusive control acquisition of the company Abcis Loir et Cher  </w:t>
        <w:br/>
        <w:t xml:space="preserve">by the Bigot group  </w:t>
        <w:br/>
        <w:t xml:space="preserve">The Competition Authority,  </w:t>
        <w:br/>
        <w:t xml:space="preserve">Having regard to the complete notification file submitted to the mergers department on June 29, 2023,  </w:t>
        <w:br/>
        <w:t xml:space="preserve">concerning the exclusive control acquisition by the company Sofiv, the parent company of the Bigot group, of the  </w:t>
        <w:br/>
        <w:t xml:space="preserve">company Abcis Loir et Cher, formalized by a letter of intent dated March 9,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Abcis Loir et Cher,  </w:t>
        <w:br/>
        <w:t xml:space="preserve">which operates three car dealerships in the department of Loir-et-Cher (41) located in La Chaussée Saint-Victor, Saint-Ouen, and Romorantin-Lanthenay, by the Bigot group,  </w:t>
        <w:br/>
        <w:t xml:space="preserve">which is itself active in the automotive distribution sector.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23-111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