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https://www.autoritedelaconcurrence.fr/fr/decision-de-controle-des-concentrations/relative-la-prise-de-controle-exclusif-de-la-societe-409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23-DCC-158 of August 16, 2023  </w:t>
        <w:br/>
        <w:t xml:space="preserve">regarding the exclusive control acquisition of the company Abcis La Teste de  </w:t>
        <w:br/>
        <w:t xml:space="preserve">Buch by Autosphère by the Adap group  </w:t>
        <w:br/>
        <w:t xml:space="preserve">The Competition Authority,  </w:t>
        <w:br/>
        <w:t xml:space="preserve">Having regard to the notification file submitted complete to the mergers department on July 25, 2023,  </w:t>
        <w:br/>
        <w:t xml:space="preserve">concerning the exclusive control acquisition by the Adap group, through the Société  </w:t>
        <w:br/>
        <w:t xml:space="preserve">Automobile de la Côte d’Aquitaine, of the company Abcis La Teste de Buch by Autosphère,  </w:t>
        <w:br/>
        <w:t xml:space="preserve">formalized by a letter of intent dated March 28,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Abcis La Teste de  </w:t>
        <w:br/>
        <w:t xml:space="preserve">Buch by Autosphère, which operates a car dealership in the department of  </w:t>
        <w:br/>
        <w:t xml:space="preserve">Gironde (33), by the Adap group, which is active in the automotive distribution sector.  </w:t>
        <w:br/>
        <w:t xml:space="preserve">It constitutes a concentration operation within the meaning of Article L. 430-1 of the Commercial Code. Given the turnover achieved by the companies concerned,  </w:t>
        <w:br/>
        <w:t xml:space="preserve">the operation does not fall under the jurisdiction of the European Union. On the other hand, the thresholds for  </w:t>
        <w:br/>
        <w:t xml:space="preserve">control relating to retail trade mentioned in II of Article L. 430-2 of the Commercial Code are exceeded. The present operation is therefore subject to the provisions of Articles  </w:t>
        <w:br/>
        <w:t xml:space="preserve">L. 430-3 and following of the 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23-169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