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https://www.autoritedelaconcurrence.fr/fr/decision-de-controle-des-concentrations/relative-la-prise-de-controle-exclusif-de-la-societe-41</w:t>
      </w:r>
    </w:p>
    <w:p>
      <w:r>
        <w:t>Pages translated : 2</w:t>
      </w:r>
    </w:p>
    <w:p/>
    <w:p>
      <w:r>
        <w:rPr>
          <w:b/>
        </w:rPr>
        <w:t>[Pages 1–2]</w:t>
      </w:r>
    </w:p>
    <w:p>
      <w:r>
        <w:t xml:space="preserve">FRENCH REPUBLIC  </w:t>
        <w:br/>
        <w:t xml:space="preserve">Decision No. 11-DCC-19 of February 7, 2011  </w:t>
        <w:br/>
        <w:t>regarding the exclusive control acquisition of the company Financière CP and its subsidiaries by the company Fondations Capital I SCA SICAR</w:t>
      </w:r>
    </w:p>
    <w:p>
      <w:r>
        <w:t>The Competition Authority,</w:t>
      </w:r>
    </w:p>
    <w:p>
      <w:r>
        <w:t>Having regard to the complete notification file submitted to the mergers department on January 4, 2011, concerning the exclusive control acquisition of the company Financière CP SAS (hereinafter "Financière CP") and its subsidiaries by the company Fondations Capital I SCA SICAR, via SARL MM Invest, formalized by the share transfer and contribution agreement concluded between the shareholders of the company Financière CP, on the one hand, and SARL MM Invest, on the other hand, dated December 16, 2010;</w:t>
      </w:r>
    </w:p>
    <w:p>
      <w:r>
        <w:t>Having regard to Book IV of the Commercial Code relating to the freedom of prices and competition, and in particular its Articles L. 430-1 to L. 430-7;</w:t>
      </w:r>
    </w:p>
    <w:p>
      <w:r>
        <w:t>Having regard to the supplementary elements transmitted by the parties during the investigation;</w:t>
      </w:r>
    </w:p>
    <w:p>
      <w:r>
        <w:t xml:space="preserve">Adopts the following decision:  </w:t>
        <w:br/>
        <w:t xml:space="preserve">1. SARL MM Invest is a 100% subsidiary of the company Fondations Capital I SCA SICAR, a company whose capital is held by private investors and over which none exercises a determining influence. The company Financière CP is the holding company of the Courtepaille group and notably controls the company SERARE SAS and its subsidiaries, the companies Restaurants Courtepaille, Services Courtepaille, Ecole de service et de restauration Courtepaille, and SRR. The Courtepaille group is notably present in the commercial restaurant sector in France, where it operates 172 restaurants owned and 50 franchised.  </w:t>
        <w:br/>
        <w:t>2. The contemplated operation consists of the exclusive control acquisition of the Courtepaille group by the Fondations Capital group, and constitutes a concentration within the meaning of Article L. 430-1 of the Commercial Code. Given the turnover achieved by the concerned companies,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3. In light of the elements of the file, the notified operation is not likely to harm competition.  </w:t>
        <w:br/>
        <w:t xml:space="preserve">DECIDES  </w:t>
        <w:br/>
        <w:t xml:space="preserve">Sole Article: The operation notified under number 11-0001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