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https://www.autoritedelaconcurrence.fr/fr/decision-de-controle-des-concentrations/relative-la-prise-de-controle-exclusif-de-la-societe-411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23-DCC-175 of August 24, 2023</w:t>
        <w:br/>
        <w:t>regarding the exclusive control acquisition of the company Executive IT by the</w:t>
        <w:br/>
        <w:t>company Bechtle</w:t>
        <w:br/>
        <w:t>The Competition Authority,</w:t>
        <w:br/>
        <w:t>Having regard to the complete notification file submitted to the mergers department on August 7, 2023,</w:t>
        <w:br/>
        <w:t>concerning the exclusive control acquisition of the company Executive IT and its subsidiaries by the company</w:t>
        <w:br/>
        <w:t>Bechtle, formalized by a purchase option contract dated June 29,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of the company Executive IT, primarily active</w:t>
        <w:br/>
        <w:t>in the IT services markets, by the company Bechtle, itself primarily active in the distribution of IT products. It constitutes a</w:t>
        <w:br/>
        <w:t>merger operation within the meaning of Article L. 430-1 of the Commercial Code. Given the</w:t>
        <w:br/>
        <w:t>turnover generated by the companies concerned, the operation does not fall under the</w:t>
        <w:br/>
        <w:t>jurisdiction of the European Union. On the other hand, the retail control thresholds mentioned in I of Article L. 430-2 of the Commercial Code are exceeded. This</w:t>
        <w:br/>
        <w:t>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22-258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