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23-DCC-185 of August 30, 2023  </w:t>
        <w:br/>
        <w:t xml:space="preserve">regarding the exclusive control acquisition of the company Cummins France  </w:t>
        <w:br/>
        <w:t xml:space="preserve">by the company Cummins Inc.  </w:t>
        <w:br/>
        <w:t xml:space="preserve">The Competition Authority,  </w:t>
        <w:br/>
        <w:t xml:space="preserve">Having regard to the complete notification file submitted to the mergers department on August 11, 2023,  </w:t>
        <w:br/>
        <w:t xml:space="preserve">concerning the acquisition of control by the company Cummins Inc. over the company Cummins France,  </w:t>
        <w:br/>
        <w:t xml:space="preserve">formalized by a letter of intent signed on March 17,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Cummins Inc. of its  </w:t>
        <w:br/>
        <w:t xml:space="preserve">French distributor Cummins France. Cummins Inc. is notably active in the manufacturing and  </w:t>
        <w:br/>
        <w:t xml:space="preserve">distribution of diesel engines and generator sets and alternative fuel engines for the  </w:t>
        <w:br/>
        <w:t xml:space="preserve">industrial and land and maritime transport sectors. The operation constitutes a  </w:t>
        <w:br/>
        <w:t xml:space="preserve">concentration within the meaning of Article L. 430-1 of the Commercial Code. Given the turnover  </w:t>
        <w:br/>
        <w:t xml:space="preserve">achieved by the concerned companies, the operation does not fall under the jurisdiction of  </w:t>
        <w:br/>
        <w:t xml:space="preserve">the European Union. On the other hand, the control thresholds mentioned in I of Article L. 430-2  </w:t>
        <w:br/>
        <w:t xml:space="preserve">of the Commercial Code are exceeded. The present operation is therefore subject to the provisions  </w:t>
        <w:br/>
        <w:t xml:space="preserve">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23-171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