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https://www.autoritedelaconcurrence.fr/fr/decision-de-controle-des-concentrations/relative-la-prise-de-controle-exclusif-de-la-societe-414</w:t>
      </w:r>
    </w:p>
    <w:p>
      <w:r>
        <w:t>Pages translated : 2</w:t>
      </w:r>
    </w:p>
    <w:p/>
    <w:p>
      <w:r>
        <w:rPr>
          <w:b/>
        </w:rPr>
        <w:t>[Pages 1–2]</w:t>
      </w:r>
    </w:p>
    <w:p>
      <w:r>
        <w:t>REPUBLIC OF FRANCE</w:t>
        <w:br/>
        <w:t>Decision No. 23-DCC-194 of October 3, 2023</w:t>
        <w:br/>
        <w:t>regarding the exclusive control acquisition of the company Mercedes-Benz Bordeaux by the company BPM Group</w:t>
        <w:br/>
        <w:t>The Competition Authority,</w:t>
        <w:br/>
        <w:t>Having regard to the complete notification file submitted to the mergers department on September 15, 2023, concerning the exclusive control acquisition of the company Mercedes-Benz Bordeaux by the company BPM Group, formalized by a share transfer agreement dated and signed on July 24, 2024;</w:t>
        <w:br/>
        <w:t>Having regard to Book IV of the Commercial Code relating to the freedom of prices and competition, and in particular its Articles L. 430-1 to L. 430-7;</w:t>
        <w:br/>
        <w:t>Adopts the following decision:</w:t>
        <w:br/>
        <w:t>1. The notified operation consists of the exclusive control acquisition of the company Mercedes-Benz Bordeaux (33), operating four car dealerships located in Bègles (33), La Teste-de-Buch (33), and Mérignac (33) by the company BPM Group.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23-235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