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https://www.autoritedelaconcurrence.fr/fr/decision-de-controle-des-concentrations/relative-la-prise-de-controle-exclusif-de-la-societe-415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23-DCC-199 of October 5, 2023  </w:t>
        <w:br/>
        <w:t xml:space="preserve">regarding the exclusive control acquisition of the company Compagnie  </w:t>
        <w:br/>
        <w:t xml:space="preserve">Parisienne des Asphaltes by the Dyneff group  </w:t>
        <w:br/>
        <w:t xml:space="preserve">The Competition Authority,  </w:t>
        <w:br/>
        <w:t xml:space="preserve">Having regard to the complete notification file submitted to the mergers department on September 20,  </w:t>
        <w:br/>
        <w:t xml:space="preserve">2023, concerning the exclusive control acquisition of the company Compagnie Parisienne des Asphaltes  </w:t>
        <w:br/>
        <w:t xml:space="preserve">by the Dyneff group, formalized by an acquisition contract signed on July 25,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Dyneff group of the company  </w:t>
        <w:br/>
        <w:t xml:space="preserve">Compagnie Parisienne des Asphaltes, primarily active in the distribution of petroleum products. It constitutes a concentration operation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23-219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