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https://www.autoritedelaconcurrence.fr/fr/decision-de-controle-des-concentrations/relative-la-prise-de-controle-exclusif-de-la-societe-417</w:t>
      </w:r>
    </w:p>
    <w:p>
      <w:r>
        <w:t>Pages translated : 2</w:t>
      </w:r>
    </w:p>
    <w:p/>
    <w:p>
      <w:r>
        <w:rPr>
          <w:b/>
        </w:rPr>
        <w:t>[Pages 1–2]</w:t>
      </w:r>
    </w:p>
    <w:p>
      <w:r>
        <w:t xml:space="preserve">FRENCH REPUBLIC  </w:t>
        <w:br/>
        <w:t xml:space="preserve">Decision No. 23-DCC-216 of October 17, 2023  </w:t>
        <w:br/>
        <w:t xml:space="preserve">regarding the exclusive control acquisition of Groupe Aqualande  </w:t>
        <w:br/>
        <w:t xml:space="preserve">by SCA Les Aquaculteurs Landais  </w:t>
        <w:br/>
        <w:t xml:space="preserve">The Competition Authority,  </w:t>
        <w:br/>
        <w:t xml:space="preserve">Having regard to the complete notification file submitted to the mergers department on September 29, 2023, concerning the exclusive control acquisition of Groupe Aqualande by SCA Les Aquaculteurs Landais, formalized by a memorandum of understanding and share transfer agreement signed on August 3, 2023;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SCA Les Aquaculteurs Landais of the company Groupe Aqualande, previously jointly held by SCA Les Aquaculteurs Landais and Labeyrie Fine Foods. The company Groupe Aqualande is primarily active in the sector of farmed trout production and the primary and secondary processing of smoked trout. It constitutes a concentration operation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23-224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