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https://www.autoritedelaconcurrence.fr/fr/decision-de-controle-des-concentrations/relative-la-prise-de-controle-exclusif-de-la-societe-419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23-DCC-246 of December 14, 2023  </w:t>
        <w:br/>
        <w:t xml:space="preserve">regarding the exclusive control acquisition of the company Territoria mutuelle  </w:t>
        <w:br/>
        <w:t xml:space="preserve">by the Apicil group  </w:t>
        <w:br/>
        <w:t xml:space="preserve">The Competition Authority,  </w:t>
        <w:br/>
        <w:t xml:space="preserve">Having regard to the complete notification file submitted to the mergers department on November 29,  </w:t>
        <w:br/>
        <w:t xml:space="preserve">2023, concerning the exclusive control acquisition of the company Territoria mutuelle by the Apicil group,  </w:t>
        <w:br/>
        <w:t xml:space="preserve">formalized by a substitution agreement dated June 28,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Apicil group of the company  </w:t>
        <w:br/>
        <w:t xml:space="preserve">Territoria mutuelle, which is notably active in the sectors of provident insurance and  </w:t>
        <w:br/>
        <w:t xml:space="preserve">health insurance. It constitutes a concentration operation within the meaning of Article L. 430-1 of  </w:t>
        <w:br/>
        <w:t xml:space="preserve">the Commercial Code. Given the turnover achieved by the concerned companies,  </w:t>
        <w:br/>
        <w:t xml:space="preserve">the operation does not fall under the jurisdiction of the European Union. On the other hand, the thresholds for  </w:t>
        <w:br/>
        <w:t xml:space="preserve">control mentioned in I of Article L. 430-2 of the Commercial Code are exceeded. The present  </w:t>
        <w:br/>
        <w:t xml:space="preserve">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23-280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