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https://www.autoritedelaconcurrence.fr/fr/decision-de-controle-des-concentrations/relative-la-prise-de-controle-exclusif-de-la-societe-42</w:t>
      </w:r>
    </w:p>
    <w:p>
      <w:r>
        <w:t>Pages translated : 5</w:t>
      </w:r>
    </w:p>
    <w:p/>
    <w:p>
      <w:r>
        <w:rPr>
          <w:b/>
        </w:rPr>
        <w:t>[Pages 1–3]</w:t>
      </w:r>
    </w:p>
    <w:p>
      <w:r>
        <w:t xml:space="preserve">FRENCH REPUBLIC  </w:t>
        <w:br/>
        <w:t xml:space="preserve">Decision No. 11-DCC-24 of February 10, 2011  </w:t>
        <w:br/>
        <w:t>regarding the exclusive control of Superfos Industries A/S by RPC Group Plc</w:t>
      </w:r>
    </w:p>
    <w:p>
      <w:r>
        <w:t xml:space="preserve">The Competition Authority,  </w:t>
        <w:br/>
        <w:t xml:space="preserve">Having regard to the notification file submitted to the merger service on December 16, 2010, and declared complete on January 27, 2010, concerning the acquisition of Superfos Industries A/S by RPC Group Plc, formalized by a share transfer agreement dated December 16, 2010;  </w:t>
        <w:br/>
        <w:t xml:space="preserve">Having regard to Book IV of the Commercial Code relating to the freedom of prices and competition, and in particular Articles L. 430-1 to L. 430-7;  </w:t>
        <w:br/>
        <w:t xml:space="preserve">Having regard to the supplementary elements provided by the parties during the investigation;  </w:t>
        <w:br/>
        <w:t>Adopts the following decision:</w:t>
      </w:r>
    </w:p>
    <w:p>
      <w:r>
        <w:t xml:space="preserve">I. The concerned companies and the operation  </w:t>
        <w:br/>
        <w:t xml:space="preserve">1. RPC Group Plc (hereinafter "RPC") is a company under English law active in the sector of manufacturing plastic packaging materials. RPC is listed on the London Stock Exchange and is primarily owned by Aberforth Partners LLP (13.5%), Axa SA (9.2%), North Atlantic Value LLP (6.9%), Legal &amp; General Group PLC (6%), SVG Investment Managers Ltd (5%). The main strategic decisions of RPC are made by its board of directors, which consists of independent directors appointed and designated by the directors themselves and approved by the shareholders' meeting, in which no shareholder holds a majority. None of the shareholders has a veto right, and RPC is not aware of any shareholders' agreement. Consequently, RPC is not controlled by any of its shareholders. In France, RPC has five production sites and manufactures plastic packaging materials.  </w:t>
        <w:br/>
        <w:t xml:space="preserve">2. Superfos Industries A/S (hereinafter "Superfos") is a company under Danish law active in the development, production, and sale of injection-molded plastic packaging. Superfos is 32.6% owned by the Swedish company Ratos AB, 51.2% by the funds Industri Kapital 1997 Limited Partnership I, II, III, and IV represented by the management company Industri Kapital 1997 Limited, incorporated under the laws of the State of Jersey, with the remaining 16% distributed among minority shareholders. Superfos is present throughout Europe. In France, it holds 100% of the capital of Superfos La Genête and Superfos Besançon, which primarily produce and supply buckets, small containers, and plastic containers.  </w:t>
        <w:br/>
        <w:t xml:space="preserve">3. The operation, formalized by a share transfer agreement dated December 16, 2010, involves the acquisition by RPC of all the shares of Superfos. The notified operation thus results in the exclusive control of Superfos by RPC and constitutes a concentration within the meaning of Article L. 430-1 of the Commercial Code.  </w:t>
        <w:br/>
        <w:t>4. The concerned companies together achieved a consolidated turnover excluding taxes worldwide of more than 150 million euros in 2009 (RPC: 738.6 million euros; Superfos: 324 million euros). Each of these companies achieved a turnover in France exceeding 50 million euros (RPC: […] million euros; Superfos: […] million euros).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A. PRODUCT MARKET  </w:t>
        <w:br/>
        <w:t xml:space="preserve">5. In France, RPC primarily supplies (i) injection-molded products intended for the cosmetics industry, catering, and the pharmaceutical industry, (ii) thermoformed products intended for catering, the pharmaceutical industry, and the food industry, mainly for dairy products, (iii) blow-molded products intended notably for chemical and food products. Superfos's sole activity is the manufacturing of injection-molded plastic packaging, namely primarily buckets of more than one liter (intended notably for paints, pet food, dairy products, and other food segments), parallel-walled containers of more than one liter (intended notably for paints and coatings), and, to a lesser extent, small containers for certain food segments, particularly dairy products.  </w:t>
        <w:br/>
        <w:t xml:space="preserve">6. European decisional practice considers that, in the packaging industry, competition occurs in several distinct markets depending on the packaging material used and the intended use of the packaging product. The Commission has thus identified a market for thin-walled plastic packaging intended for dairy products such as yogurt, cream, ice cream, or margarine. In this market, the Commission has notably concluded on the substitutability of different plastics, both from the demand and supply perspectives. However, it noted the high cost of substituting one manufacturing technique for another, leaving the precise delimitation of the relevant market open.  </w:t>
        <w:br/>
        <w:t>1 European Commission Decision No. IV/M.1400 of February 1, 1999, Rexam/PLM.</w:t>
      </w:r>
    </w:p>
    <w:p>
      <w:r>
        <w:t xml:space="preserve">7. The parties argue that the characteristics of plastic packaging, including their shape, volume, and rigidity, differ depending on the production technologies used, namely thermoforming, injection molding, and blow molding.  </w:t>
        <w:br/>
        <w:t xml:space="preserve">8. Thermoforming involves the forming and shaping by heating flat sheets of plastic. The possible applications for thermoformed plastic packaging are limited, given their thin walls and low resistance, and they are mainly used in the form of small containers (up to one liter) and tubes intended for the food sector, particularly dairy products. Furthermore, this manufacturing process is inexpensive (the parties estimate that the production costs of a 250 ml thermoformed container are on average [20-30]% lower than those of a comparable injection-molded product). Moreover, the machines and know-how required for the manufacture of thermoformed products are different from other production techniques.  </w:t>
        <w:br/>
        <w:t xml:space="preserve">9. Injection molding consists of injecting molten liquid plastic into a mold that determines the shape of the final product. It allows for the manufacture of products with more or less rigid and thick walls and enables a wider range of products to be developed than thermoforming in terms of volume (250 ml to 50 liters), shape, and finish. These packages can be intended for both food and non-food sectors. Given these characteristics, products of more than one liter are essentially injection-molded.  </w:t>
        <w:br/>
        <w:t xml:space="preserve">10. Finally, blow molding consists of placing a preformed plastic container in a mold and expanding it by injecting compressed air. This technology is primarily used for the production of hollow thin-walled containers with narrow necks (bottles and jugs). The parties estimate that the cost of injection molding is approximately [20-30]% higher than blow molding.  </w:t>
        <w:br/>
        <w:t xml:space="preserve">11. Consequently, the parties consider that plastic packaging products should be segmented according to their manufacturing process, with each market potentially further subdivided based on the shape and volume of the product in question, with the parties distinguishing between packaging of more and less than one liter. They conclude that the operation does not entail any overlap of activity since the parties simultaneously manufacture small plastic containers for food use, but according to different manufacturing processes (thermoforming for RPC, injection molding for Superfos).  </w:t>
        <w:br/>
        <w:t xml:space="preserve">12. The arguments provided by the parties are primarily based on considerations relating to substitutability from the supply perspective. However, the absence of substitutability of the products concerned from the demand perspective, either due to differences in use determined by the manufacturing processes used or due to differences in cost, does not clearly emerge from the information provided by the parties.  </w:t>
        <w:br/>
        <w:t>13. In any case, it is not necessary to make a definitive ruling on the exact delimitation of the markets in question in this case since the conclusions of the competitive analysis remain unchanged regardless of the segmentation adopted. In this case, the competitive analysis will therefore be conducted on two segmentations. The first, suggested by the parties, will examine the effects of the operation on distinct markets according to the manufacturing process used and the volume of the products. The second will examine the effects arising from the overlap of the parties' activities on markets delineated based on the volumes and destination of the products, namely in the segments grouping all plastic packaging of less than one liter and, within this category, small plastic packaging intended for the dairy industry.</w:t>
      </w:r>
    </w:p>
    <w:p>
      <w:r>
        <w:rPr>
          <w:b/>
        </w:rPr>
        <w:t>[Pages 4–5]</w:t>
      </w:r>
    </w:p>
    <w:p>
      <w:r>
        <w:t xml:space="preserve">B. GEOGRAPHIC MARKET  </w:t>
        <w:br/>
        <w:t xml:space="preserve">14. The decisional practice has left open the question of the geographic delimitation of the relevant markets. In this case, it is not necessary to decide on their exact delimitation, as the conclusions of the competitive analysis remain unchanged. The analysis of the present operation will therefore be conducted under the most unfavorable assumption for the parties, namely at the national level.  </w:t>
        <w:br/>
        <w:t xml:space="preserve">III. Competitive Analysis  </w:t>
        <w:br/>
        <w:t xml:space="preserve">15. In markets segmented according to manufacturing processes and product volume, the activities of the parties do not overlap since RPC is primarily active in the manufacturing of packaging products by thermoforming and Superfos in the manufacturing of packaging products by injection molding. It should be noted that RPC also manufactures plastic products by injection molding, namely cases intended for the cosmetics industry (cases for lipsticks and mascaras), glasses intended for the catering industry, and inhalers intended for the pharmaceutical industry. Nevertheless, either these are not packaging products, or, with regard to the cosmetics industry, the specificity of the products in question excludes any substitutability with the products manufactured by Superfos.  </w:t>
        <w:br/>
        <w:t xml:space="preserve">16. The operation will therefore not result in any overlap of activities, with the positions of the parties presented as follows:  </w:t>
        <w:br/>
        <w:t xml:space="preserve">Segmentation according to the production technology used and the type of products:  </w:t>
        <w:br/>
        <w:t xml:space="preserve">17. RPC Superfos Total market share  </w:t>
        <w:br/>
        <w:t xml:space="preserve">Thermoformed plastic packaging of  </w:t>
        <w:br/>
        <w:t xml:space="preserve">[5-10] % [0-5] % [5-10] %  </w:t>
        <w:br/>
        <w:t xml:space="preserve">less than one liter  </w:t>
        <w:br/>
        <w:t xml:space="preserve">Injection molded plastic packaging of  </w:t>
        <w:br/>
        <w:t xml:space="preserve">[0-5] % [0-5] % [0-5] %  </w:t>
        <w:br/>
        <w:t xml:space="preserve">less than one liter  </w:t>
        <w:br/>
        <w:t xml:space="preserve">Blow molded plastic packaging2  </w:t>
        <w:br/>
        <w:t xml:space="preserve">[0-5] % [0-5] % [0-5] %  </w:t>
        <w:br/>
        <w:t xml:space="preserve">Injection molded buckets (more than one liter) [0-5] % [30-40] % [30-40] %  </w:t>
        <w:br/>
        <w:t xml:space="preserve">Injection molded parallel wall containers  </w:t>
        <w:br/>
        <w:t xml:space="preserve">[0-5] % [0-10] % [0-10] %  </w:t>
        <w:br/>
        <w:t xml:space="preserve">(more than one liter)  </w:t>
        <w:br/>
        <w:t xml:space="preserve">2 The parties were unable to provide market shares for the segments of less than one liter and more than one liter.  </w:t>
        <w:br/>
        <w:t xml:space="preserve">18. In the event that the different production technologies are not retained as a relevant criterion for the delimitation of the relevant markets, the activities of the parties overlap in the segment of plastic packaging of less than one liter, and more specifically those intended for the dairy industry. However, the combined market share of the parties in these segments remains limited and does not exceed [5-10] % in the most finely defined delimitation retained.  </w:t>
        <w:br/>
        <w:t xml:space="preserve">Segmentation according to volume and destination of products:  </w:t>
        <w:br/>
        <w:t xml:space="preserve">Market share  </w:t>
        <w:br/>
        <w:t xml:space="preserve">RPC Superfos Total  </w:t>
        <w:br/>
        <w:t xml:space="preserve">Any plastic packaging of less than one  </w:t>
        <w:br/>
        <w:t xml:space="preserve">[0-5] % [0-5] % [0-5] %  </w:t>
        <w:br/>
        <w:t xml:space="preserve">liter  </w:t>
        <w:br/>
        <w:t xml:space="preserve">Plastic packaging intended for  </w:t>
        <w:br/>
        <w:t xml:space="preserve">[5-10] % [0-5] % [5-10] %  </w:t>
        <w:br/>
        <w:t xml:space="preserve">the dairy industry  </w:t>
        <w:br/>
        <w:t xml:space="preserve">19. Consequently, the contemplated operation is not likely to harm competition, regardless of the segmentation retained.  </w:t>
        <w:br/>
        <w:t xml:space="preserve">DECIDES  </w:t>
        <w:br/>
        <w:t xml:space="preserve">Sole Article: The transaction notified under number 10-0226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