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https://www.autoritedelaconcurrence.fr/fr/decision-de-controle-des-concentrations/relative-la-prise-de-controle-exclusif-de-la-societe-421</w:t>
      </w:r>
    </w:p>
    <w:p>
      <w:r>
        <w:t>Pages translated : 2</w:t>
      </w:r>
    </w:p>
    <w:p/>
    <w:p>
      <w:r>
        <w:rPr>
          <w:b/>
        </w:rPr>
        <w:t>[Pages 1–2]</w:t>
      </w:r>
    </w:p>
    <w:p>
      <w:r>
        <w:t>FRENCH REPUBLIC</w:t>
        <w:br/>
        <w:t>Decision No. 23-DCC-265 of December 29, 2023</w:t>
        <w:br/>
        <w:t>regarding the exclusive control acquisition of the company UltraEdge by the</w:t>
        <w:br/>
        <w:t>company Morgan Stanley</w:t>
        <w:br/>
        <w:t>The Competition Authority,</w:t>
        <w:br/>
        <w:t>Having regard to the complete notification file submitted to the mergers department on December 20,</w:t>
        <w:br/>
        <w:t>2023, concerning the exclusive control acquisition of the company UltraEdge by the company Morgan</w:t>
        <w:br/>
        <w:t>Stanley, formalized by a sale option agreement dated November 21, 2023;</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Morgan Stanley of</w:t>
        <w:br/>
        <w:t>the company UltraEdge, active in the sector of colocation services provided by external data centers. The operation constitutes a concentration operation within the meaning of Article L. 430-1 of the Commercial Code. Given the turnover achieved by the companies involved, the operation does not fall under the jurisdiction of the European Union. However, the retail trade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notified operation under number 23-331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