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https://www.autoritedelaconcurrence.fr/fr/decision-de-controle-des-concentrations/relative-la-prise-de-controle-exclusif-de-la-societe-423</w:t>
      </w:r>
    </w:p>
    <w:p>
      <w:r>
        <w:t>Pages translated : 2</w:t>
      </w:r>
    </w:p>
    <w:p/>
    <w:p>
      <w:r>
        <w:rPr>
          <w:b/>
        </w:rPr>
        <w:t>[Pages 1–2]</w:t>
      </w:r>
    </w:p>
    <w:p>
      <w:r>
        <w:t xml:space="preserve">FRENCH REPUBLIC  </w:t>
        <w:br/>
        <w:t xml:space="preserve">Decision No. 23-DCC-266 of December 28, 2023  </w:t>
        <w:br/>
        <w:t xml:space="preserve">regarding the exclusive control acquisition of the company Manusdei-Gp-Palizzotto by the Carrefour group  </w:t>
        <w:br/>
        <w:t xml:space="preserve">The Competition Authority,  </w:t>
        <w:br/>
        <w:t xml:space="preserve">Having regard to the complete notification file submitted to the mergers department on December 7, 2023,  </w:t>
        <w:br/>
        <w:t xml:space="preserve">concerning the exclusive control acquisition of the company Manusdei-Gp-Palizzotto by the Carrefour group, formalized by a letter of intent dated October 20,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Carrefour group of the  </w:t>
        <w:br/>
        <w:t xml:space="preserve">company Manusdei-Gp-Palizzotto, operating six retail business assets primarily focused on food distribution of the small retail type, under the Carrefour City brand, two of which are located in Paris (75) and four are located in Neuilly-sur-Marne (93), Gournay-sur-Marne (93), Taverny (95), and Palaiseau (91). Furthermore, the target company operates two retail business assets primarily focused on food distribution of the supermarket type, under the Carrefour City brand in Villiers-sur-Marne (94) and Boulogne-Billancourt (92). The operation constitutes a concentration operation within the meaning of Article L. 430-1 of the Commercial Code. Given the turnover achieved by the concerned companies,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23-321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