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https://www.autoritedelaconcurrence.fr/fr/decision-de-controle-des-concentrations/relative-la-prise-de-controle-exclusif-de-la-societe-424</w:t>
      </w:r>
    </w:p>
    <w:p>
      <w:r>
        <w:t>Pages translated : 2</w:t>
      </w:r>
    </w:p>
    <w:p/>
    <w:p>
      <w:r>
        <w:rPr>
          <w:b/>
        </w:rPr>
        <w:t>[Pages 1–2]</w:t>
      </w:r>
    </w:p>
    <w:p>
      <w:r>
        <w:t>FRENCH REPUBLIC</w:t>
        <w:br/>
        <w:t>Decision No. 24-DCC-01 of January 11, 2024</w:t>
        <w:br/>
        <w:t>regarding the exclusive control acquisition of the company Stordata by the</w:t>
        <w:br/>
        <w:t>company Edmond de Rothschild Private Equity</w:t>
        <w:br/>
        <w:t>The Competition Authority,</w:t>
        <w:br/>
        <w:t>Having regard to the complete notification file submitted to the mergers department on</w:t>
        <w:br/>
        <w:t>December 20, 2023, concerning the exclusive control acquisition of the company Stordata by the company</w:t>
        <w:br/>
        <w:t>Edmond de Rothschild Private Equity, formalized by a purchase promise dated</w:t>
        <w:br/>
        <w:t>December 15, 2023;</w:t>
        <w:br/>
        <w:t>Having regard to Book IV of the Commercial Code relating to the freedom of prices and competition, and</w:t>
        <w:br/>
        <w:t>notably its Articles L. 430-1 to L. 430-7;</w:t>
        <w:br/>
        <w:t>Adopts the following decision:</w:t>
        <w:br/>
        <w:t>1. The notified operation consists of the exclusive control acquisition by Edmond de Rothschild Private</w:t>
        <w:br/>
        <w:t>Equity, via the investment fund Eres IV SLP, of the company Stordata, active in the information technology services sector. The operation constitutes a concentration within the meaning of Article L. 430-1 of the Commercial Code. Given the turnover achieved by the companies involved,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23-336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