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https://www.autoritedelaconcurrence.fr/fr/decision-de-controle-des-concentrations/relative-la-prise-de-controle-exclusif-de-la-societe-427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24-DCC-22 of February 20, 2024  </w:t>
        <w:br/>
        <w:t xml:space="preserve">regarding the exclusive control acquisition of the company Abcis Châteauroux  </w:t>
        <w:br/>
        <w:t>by the Dubreuil group</w:t>
      </w:r>
    </w:p>
    <w:p>
      <w:r>
        <w:t>The Competition Authority,</w:t>
      </w:r>
    </w:p>
    <w:p>
      <w:r>
        <w:t xml:space="preserve">Having regard to the complete notification file sent to the mergers department on February 2, 2024,  </w:t>
        <w:br/>
        <w:t xml:space="preserve">concerning the exclusive control acquisition of the company Abcis Châteauroux by the Dubreuil group,  </w:t>
        <w:br/>
        <w:t xml:space="preserve">formalized by a letter of intent dated November 20, 2023;  </w:t>
        <w:br/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by the Dubreuil group of the  </w:t>
        <w:br/>
        <w:t xml:space="preserve">company Abcis Châteauroux, which operates an automotive distribution business in Saint-Maur (36).  </w:t>
        <w:br/>
        <w:t xml:space="preserve">It constitutes a concentration operation within the meaning of Article L. 430-1 of the Commercial Code.  </w:t>
        <w:br/>
        <w:t xml:space="preserve">Given the revenues generated by the companies involved, the operation does not fall under the jurisdiction of the European Union.  </w:t>
        <w:br/>
        <w:t xml:space="preserve">On the other hand, the retail control thresholds mentioned in point II of Article L. 430-2 of the Commercial Code are exceeded.  </w:t>
        <w:br/>
        <w:t>This operation is therefore subject to the provisions of Articles L. 430-3 and 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24-006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