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24-DCC-41 of March 6, 2024</w:t>
        <w:br/>
        <w:t>regarding the exclusive control acquisition of the company Alpes Evasion by</w:t>
        <w:br/>
        <w:t>the company Groupe David Gerbier</w:t>
        <w:br/>
        <w:t>The Competition Authority,</w:t>
        <w:br/>
        <w:t>Having regard to the notification file sent to the mergers department on January 30, 2024, declared</w:t>
        <w:br/>
        <w:t>complete on February 16, 2024, concerning the exclusive control acquisition of the company Alpes Evasion by</w:t>
        <w:br/>
        <w:t>the company Groupe David Gerbier, formalized by a transfer protocol dated January 25,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Groupe David</w:t>
        <w:br/>
        <w:t>Gerbier of the company Alpes Evasion, active in the leisure vehicle distribution sector. The operation constitutes a concentration within the meaning of Article L. 430-1 of the Commercial Code. Given the turnover achieved by the concerned companies,</w:t>
        <w:br/>
        <w:t>the operation does not fall under the jurisdiction of the European Union. However, the control thresholds related to retail trade mentioned in II of Article L. 430-2 of the Commercial Code are exceeded. This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24-023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