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https://www.autoritedelaconcurrence.fr/fr/decision-de-controle-des-concentrations/relative-la-prise-de-controle-exclusif-de-la-societe-43</w:t>
      </w:r>
    </w:p>
    <w:p>
      <w:r>
        <w:t>Pages translated : 2</w:t>
      </w:r>
    </w:p>
    <w:p/>
    <w:p>
      <w:r>
        <w:rPr>
          <w:b/>
        </w:rPr>
        <w:t>[Pages 1–2]</w:t>
      </w:r>
    </w:p>
    <w:p>
      <w:r>
        <w:t xml:space="preserve">FRENCH REPUBLIC  </w:t>
        <w:br/>
        <w:t xml:space="preserve">Decision No. 11-DCC-38 of March 4, 2011  </w:t>
        <w:br/>
        <w:t xml:space="preserve">regarding the exclusive control acquisition of the company Houtland Automobiles by the company PGA Motors  </w:t>
        <w:br/>
        <w:t xml:space="preserve">The Competition Authority,  </w:t>
        <w:br/>
        <w:t xml:space="preserve">Having regard to the notification file sent to the mergers department on January 17, 2011, and declared complete on February 15, 2011, concerning the acquisition of control of the company Houtland Automobiles by the company PGA Motors, formalized by the judgment of the Commercial Court of Dunkirk dated February 9, 2011;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Houtland Automobiles, active in the sectors of automobile distribution, distribution of spare parts, and maintenance and repair services for motor vehicles in Wormhout (59), by the company PGA Motors, through its subsidiary GGBA, and constitutes a concentration operation within the meaning of Article L. 430-1 of the Commercial Code. Given the turnover achieved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11-0008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