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24-DCC-55 of March 26, 2024</w:t>
        <w:br/>
        <w:t>regarding the exclusive control acquisition of the company Girard-Agediss by</w:t>
        <w:br/>
        <w:t>the company Zamenhof Exploitation</w:t>
        <w:br/>
        <w:t>The Competition Authority,</w:t>
        <w:br/>
        <w:t>Having regard to the complete notification file submitted to the mergers department on March 8, 2024,</w:t>
        <w:br/>
        <w:t>concerning the exclusive control acquisition of the company Girard-Agediss by the company Zamenhof</w:t>
        <w:br/>
        <w:t>Exploitation, materialized by a unilateral purchase promise dated February 10,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exclusive control acquisition by the company Zamenhof</w:t>
        <w:br/>
        <w:t>Exploitation of the company Girard-Agediss, active in the sectors of road transport of</w:t>
        <w:br/>
        <w:t>goods, logistics services, and transport brokerage. It constitutes a</w:t>
        <w:br/>
        <w:t>concentration operation within the meaning of Article L. 430-1 of the Commercial Code. Given the</w:t>
        <w:br/>
        <w:t>turnover generated by the companies concerned, the operation does not fall under the</w:t>
        <w:br/>
        <w:t>competence of the European Union. On the other hand, the control thresholds mentioned in point I</w:t>
        <w:br/>
        <w:t>of 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24-050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