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https://www.autoritedelaconcurrence.fr/fr/decision-de-controle-des-concentrations/relative-la-prise-de-controle-exclusif-de-la-societe-431</w:t>
      </w:r>
    </w:p>
    <w:p>
      <w:r>
        <w:t>Pages translated : 2</w:t>
      </w:r>
    </w:p>
    <w:p/>
    <w:p>
      <w:r>
        <w:rPr>
          <w:b/>
        </w:rPr>
        <w:t>[Pages 1–2]</w:t>
      </w:r>
    </w:p>
    <w:p>
      <w:r>
        <w:t>FRENCH REPUBLIC</w:t>
        <w:br/>
        <w:t>Decision No. 24-DCC-57 of April 2, 2024</w:t>
        <w:br/>
        <w:t>regarding the exclusive control acquisition of the company Mercedes-Benz Paris by the company Karlinco</w:t>
        <w:br/>
        <w:t>The Competition Authority,</w:t>
        <w:br/>
        <w:t>Having regard to the complete notification file sent to the mergers department on March 14, 2024,</w:t>
        <w:br/>
        <w:t>concerning the exclusive control acquisition of the company Mercedes-Benz Paris by the company Karlinco,</w:t>
        <w:br/>
        <w:t>formalized by a share transfer agreement dated and signed on February 7, 2024;</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Karlinco of the company</w:t>
        <w:br/>
        <w:t>Mercedes-Benz Paris, which operates six car dealerships located in the departments of</w:t>
        <w:br/>
        <w:t>Paris (75), Yvelines (78), and Hauts-de-Seine (92).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24-031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