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https://www.autoritedelaconcurrence.fr/fr/decision-de-controle-des-concentrations/relative-la-prise-de-controle-exclusif-de-la-societe-432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24-DCC-62 of April 11, 2024</w:t>
        <w:br/>
        <w:t>regarding the exclusive control acquisition of the company Lacroix City Saint-Herblain by Monet Acquisition Company Limited</w:t>
        <w:br/>
        <w:t>The Competition Authority,</w:t>
        <w:br/>
        <w:t>Having regard to the complete notification file submitted to the mergers department on March 25, 2024, concerning the exclusive control acquisition of the company Lacroix City Saint-Herblain by Monet Acquisition Company Limited, formalized by a share transfer agreement dated March 15, 2024;</w:t>
        <w:br/>
        <w:t>Having regard to Book IV of the Commercial Code relating to the freedom of prices and competition, and in particular its Articles L. 430-1 to L. 430-7;</w:t>
        <w:br/>
        <w:t>Adopts the following decision:</w:t>
        <w:br/>
        <w:t>1. The notified operation consists of the exclusive control acquisition by Monet Acquisition Company Limited of the company Lacroix City Saint-Herblain, active in the road signage sector. The operation constitutes a concentration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24-051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