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https://www.autoritedelaconcurrence.fr/fr/decision-de-controle-des-concentrations/relative-la-prise-de-controle-exclusif-de-la-societe-436</w:t>
      </w:r>
    </w:p>
    <w:p>
      <w:r>
        <w:t>Pages translated : 2</w:t>
      </w:r>
    </w:p>
    <w:p/>
    <w:p>
      <w:r>
        <w:rPr>
          <w:b/>
        </w:rPr>
        <w:t>[Pages 1–2]</w:t>
      </w:r>
    </w:p>
    <w:p>
      <w:r>
        <w:t xml:space="preserve">FRENCH REPUBLIC  </w:t>
        <w:br/>
        <w:t xml:space="preserve">Decision No. 24-DCC-98 of May 14, 2024  </w:t>
        <w:br/>
        <w:t xml:space="preserve">regarding the exclusive control acquisition of the company Courtoise Distribution Auto by the company Vauban Ouest Auto  </w:t>
        <w:br/>
        <w:t xml:space="preserve">The Competition Authority,  </w:t>
        <w:br/>
        <w:t xml:space="preserve">Having regard to the complete notification file submitted to the mergers department on April 19, 2024, concerning the exclusive control acquisition of the company Courtoise Distribution Auto by the company Vauban Ouest Auto, formalized by a transfer contract dated April 12, 2024;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Vauban Ouest Auto of the company Courtoise Distribution Auto, which operates three automobile dealership businesses located in Pontoise (95), Sarcelles (95), and Montmagny (95). It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24-107 is authorized.  </w:t>
        <w:br/>
        <w:t xml:space="preserve">The Vice-President,  </w:t>
        <w:br/>
        <w:t xml:space="preserve">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