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https://www.autoritedelaconcurrence.fr/fr/decision-de-controle-des-concentrations/relative-la-prise-de-controle-exclusif-de-la-societe-437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24-DCC-104 of May 16, 2024  </w:t>
        <w:br/>
        <w:t xml:space="preserve">regarding the exclusive control acquisition of the company Beauvais Dis by the  </w:t>
        <w:br/>
        <w:t>Carrefour group</w:t>
      </w:r>
    </w:p>
    <w:p>
      <w:r>
        <w:t>The Competition Authority,</w:t>
      </w:r>
    </w:p>
    <w:p>
      <w:r>
        <w:t xml:space="preserve">Having regard to the complete notification file submitted to the mergers department on April 25, 2024,  </w:t>
        <w:br/>
        <w:t xml:space="preserve">concerning the exclusive control acquisition of the company Beauvais Dis by the Carrefour group,  </w:t>
        <w:br/>
        <w:t xml:space="preserve">formalized by a unilateral promise to purchase shares, the option of which was exercised  </w:t>
        <w:br/>
        <w:t>on March 21, 2024;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Adopts the following decision:</w:t>
      </w:r>
    </w:p>
    <w:p>
      <w:r>
        <w:t xml:space="preserve">1. The notified operation consists of the exclusive control acquisition by the Carrefour group, via the  </w:t>
        <w:br/>
        <w:t xml:space="preserve">company Carrefour France, of the company Beauvais Dis, which operates a food-dominant retail outlet of  </w:t>
        <w:br/>
        <w:t xml:space="preserve">the hypermarket type with an area of 5,500 m², under the brand "Carrefour" located in Beauvais (60). It constitutes a concentration operation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However, the  </w:t>
        <w:br/>
        <w:t xml:space="preserve">retail control thresholds mentioned in II of Article L. 430-2 of the Commercial Code are exceeded. This  </w:t>
        <w:br/>
        <w:t xml:space="preserve">operation is therefore subject to the provisions of Articles L. 430-3 and following of the Commercial Code  </w:t>
        <w:br/>
        <w:t>relating to economic concentration.</w:t>
      </w:r>
    </w:p>
    <w:p>
      <w:r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24-114 is authorized.  </w:t>
        <w:br/>
        <w:t xml:space="preserve">The Vice-President,  </w:t>
        <w:br/>
        <w:t xml:space="preserve">Irène Luc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