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https://www.autoritedelaconcurrence.fr/fr/decision-de-controle-des-concentrations/relative-la-prise-de-controle-exclusif-de-la-societe-438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24-DCC-99 of May 17, 2024</w:t>
        <w:br/>
        <w:t>regarding the exclusive control acquisition of the company Françoise Saget by</w:t>
        <w:br/>
        <w:t>the company Motion Equity Partners</w:t>
        <w:br/>
        <w:t>The Competition Authority,</w:t>
        <w:br/>
        <w:t>Having regard to the complete notification file submitted to the mergers department on April 29, 2024,</w:t>
        <w:br/>
        <w:t>concerning the exclusive control acquisition by the company Motion Equity Partners of the company</w:t>
        <w:br/>
        <w:t>Françoise Saget formalized by a unilateral purchase promise signed on April 4,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Motion Equity Partners of the</w:t>
        <w:br/>
        <w:t>company Françoise Saget, active in the sector of sales of household linen, clothing, and</w:t>
        <w:br/>
        <w:t>underwear. It constitutes a concentration within the meaning of Article L. 430-1 of the Commercial Code. Given the turnover achieved by the concerned companies,</w:t>
        <w:br/>
        <w:t>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24-089 is authorized.</w:t>
        <w:br/>
        <w:t>The Vice-President,</w:t>
        <w:br/>
        <w:t>Irène Luc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