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https://www.autoritedelaconcurrence.fr/fr/decision-de-controle-des-concentrations/relative-la-prise-de-controle-exclusif-de-la-societe-439</w:t>
      </w:r>
    </w:p>
    <w:p>
      <w:r>
        <w:t>Pages translated : 2</w:t>
      </w:r>
    </w:p>
    <w:p/>
    <w:p>
      <w:r>
        <w:rPr>
          <w:b/>
        </w:rPr>
        <w:t>[Pages 1–2]</w:t>
      </w:r>
    </w:p>
    <w:p>
      <w:r>
        <w:t>FRENCH REPUBLIC</w:t>
        <w:br/>
        <w:t>Decision No. 24-DCC-116 of June 4, 2024</w:t>
        <w:br/>
        <w:t>regarding the exclusive control acquisition of the company Alpha Services Développement by the company Raise Investissement</w:t>
        <w:br/>
        <w:t>The Competition Authority,</w:t>
        <w:br/>
        <w:t>Having regard to the complete notification file sent to the mergers department on May 17, 2024, concerning the exclusive control acquisition of the company Alpha Services Développement by the company Raise Investissement, formalized by a unilateral promise to purchase shares dated April 27, 2024;</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exclusive control acquisition by the company Raise Investissement of the company Alpha Services Développement, active in the construction sector.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24-124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