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11-DCC-40 of March 11, 2011  </w:t>
        <w:br/>
        <w:t xml:space="preserve">regarding the exclusive control acquisition of the company Advance Ysa by the  </w:t>
        <w:br/>
        <w:t xml:space="preserve">company Automobiles Defense  </w:t>
        <w:br/>
        <w:t xml:space="preserve">The Competition Authority,  </w:t>
        <w:br/>
        <w:t xml:space="preserve">Having regard to the notification file sent to the mergers department on February 18, 2011, concerning  </w:t>
        <w:br/>
        <w:t xml:space="preserve">the exclusive control acquisition of the company Advance Ysa by the company Automobiles Defense,  </w:t>
        <w:br/>
        <w:t xml:space="preserve">formalized by a memorandum of understanding dated February 18,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Advance Ysa, active  </w:t>
        <w:br/>
        <w:t xml:space="preserve">in the sectors of automobile distribution, spare parts distribution, and maintenance and repair services for  </w:t>
        <w:br/>
        <w:t xml:space="preserve">automobiles in Yvelines and Hauts de Seine, by the company Automobiles Defense. The operation constitutes a concentration  </w:t>
        <w:br/>
        <w:t xml:space="preserve">within the meaning of Article L. 430-1 of the Commercial Code. Given the turnover achieved by the  </w:t>
        <w:br/>
        <w:t xml:space="preserve">concerned companies, the operation does not have a community dimension. On the other hand, the retail control thresholds mentioned  </w:t>
        <w:br/>
        <w:t xml:space="preserve">in point II of 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11-0030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