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https://www.autoritedelaconcurrence.fr/fr/decision-de-controle-des-concentrations/relative-la-prise-de-controle-exclusif-de-la-societe-442</w:t>
      </w:r>
    </w:p>
    <w:p>
      <w:r>
        <w:t>Pages translated : 2</w:t>
      </w:r>
    </w:p>
    <w:p/>
    <w:p>
      <w:r>
        <w:rPr>
          <w:b/>
        </w:rPr>
        <w:t>[Pages 1–2]</w:t>
      </w:r>
    </w:p>
    <w:p>
      <w:r>
        <w:t>FRENCH REPUBLIC</w:t>
        <w:br/>
        <w:t>Decision No. 24-DCC-120 of June 10, 2024</w:t>
        <w:br/>
        <w:t>regarding the exclusive control acquisition of the company Soufflet Nutrition</w:t>
        <w:br/>
        <w:t>by the Avril group</w:t>
        <w:br/>
        <w:t>The Competition Authority,</w:t>
        <w:br/>
        <w:t>Having regard to the complete notification file sent to the mergers department on May 14, 2024,</w:t>
        <w:br/>
        <w:t>concerning the exclusive control acquisition of the company Soufflet Nutrition by the Avril group formalized by a transfer contract dated October 31,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Avril group of the company Soufflet Nutrition, active in the sectors of animal nutrition and the collection and marketing of cereals, oilseeds, and protein crops.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23-310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