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https://www.autoritedelaconcurrence.fr/fr/decision-de-controle-des-concentrations/relative-la-prise-de-controle-exclusif-de-la-societe-446</w:t>
      </w:r>
    </w:p>
    <w:p>
      <w:r>
        <w:t>Pages translated : 2</w:t>
      </w:r>
    </w:p>
    <w:p/>
    <w:p>
      <w:r>
        <w:rPr>
          <w:b/>
        </w:rPr>
        <w:t>[Pages 1–2]</w:t>
      </w:r>
    </w:p>
    <w:p>
      <w:r>
        <w:t xml:space="preserve">FRENCH REPUBLIC  </w:t>
        <w:br/>
        <w:t xml:space="preserve">Decision No. 24-DCC-154 of July 24, 2024  </w:t>
        <w:br/>
        <w:t xml:space="preserve">regarding the exclusive control acquisition of the company Nouveau Comptoir Caraïbe d’Importation et d’Exportation by the company Citadelle  </w:t>
        <w:br/>
        <w:t xml:space="preserve">The Competition Authority,  </w:t>
        <w:br/>
        <w:t xml:space="preserve">Having regard to the complete notification file submitted to the mergers department on July 8, 2024, concerning the exclusive control acquisition of the company Nouveau Comptoir Caraïbe d’Importation et d’Exportation by the company Citadelle, formalized by a share transfer agreement signed on June 14,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Citadelle of the entire share capital and voting rights of the company Nouveau Comptoir Caraïbe d’Importation et d’Exportation, which is active in the automotive distribution sector in French Guiana (973).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24-171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