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https://www.autoritedelaconcurrence.fr/fr/decision-de-controle-des-concentrations/relative-la-prise-de-controle-exclusif-de-la-societe-448</w:t>
      </w:r>
    </w:p>
    <w:p>
      <w:r>
        <w:t>Pages translated : 2</w:t>
      </w:r>
    </w:p>
    <w:p/>
    <w:p>
      <w:r>
        <w:rPr>
          <w:b/>
        </w:rPr>
        <w:t>[Pages 1–2]</w:t>
      </w:r>
    </w:p>
    <w:p>
      <w:r>
        <w:t xml:space="preserve">FRENCH REPUBLIC  </w:t>
        <w:br/>
        <w:t xml:space="preserve">Decision No. 24-DCC-165 of August 1, 2024  </w:t>
        <w:br/>
        <w:t xml:space="preserve">regarding the exclusive control acquisition of the company Kalhyge Développement by the company Anett et Cie  </w:t>
        <w:br/>
        <w:t xml:space="preserve">The Competition Authority,  </w:t>
        <w:br/>
        <w:t xml:space="preserve">Having regard to the complete notification file submitted to the mergers department on July 17, 2024, concerning the exclusive control acquisition of the company Kalhyge Développement by the company Anett et Cie, formalized by a memorandum of understanding signed on April 19,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Anett et Cie of all the shares of the company Kalhyge Développement, which is active in the sectors of linen rental and maintenance and the distribution of hygiene and maintenance products for professional use.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24-103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