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https://www.autoritedelaconcurrence.fr/fr/decision-de-controle-des-concentrations/relative-la-prise-de-controle-exclusif-de-la-societe-450</w:t>
      </w:r>
    </w:p>
    <w:p>
      <w:r>
        <w:t>Pages translated : 2</w:t>
      </w:r>
    </w:p>
    <w:p/>
    <w:p>
      <w:r>
        <w:rPr>
          <w:b/>
        </w:rPr>
        <w:t>[Pages 1–2]</w:t>
      </w:r>
    </w:p>
    <w:p>
      <w:r>
        <w:t>FRENCH REPUBLIC</w:t>
        <w:br/>
        <w:t>Decision No. 24-DCC-183 of August 13, 2024</w:t>
        <w:br/>
        <w:t>regarding the exclusive control acquisition of the company Mademoiselle Desserts International by the company Emmi</w:t>
        <w:br/>
        <w:t>The Competition Authority,</w:t>
        <w:br/>
        <w:t>Having regard to the complete notification file submitted to the mergers department on July 29, 2024, concerning the exclusive control acquisition of the company Mademoiselle Desserts International by the company Emmi, formalized by a purchase promise signed on July 4, 2024, to which a draft share transfer agreement was annexed;</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acquisition by the company Emmi AG, via the company Indulgents Moments SAS which it exclusively controls, of the entire capital of the company Mademoiselle Desserts International SAS and its subsidiaries, which are active in the sector of manufacturing and marketing industrial bakery-pastry products.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24-187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