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https://www.autoritedelaconcurrence.fr/fr/decision-de-controle-des-concentrations/relative-la-prise-de-controle-exclusif-de-la-societe-451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24-DCC-184 of August 14, 2024</w:t>
        <w:br/>
        <w:t>regarding the exclusive control acquisition of Groupe Rétif by</w:t>
        <w:br/>
        <w:t>Raja</w:t>
        <w:br/>
        <w:t>The Competition Authority,</w:t>
        <w:br/>
        <w:t>Having regard to the complete notification file submitted to the mergers department on July 30, 2024,</w:t>
        <w:br/>
        <w:t>concerning the exclusive control acquisition of Groupe Rétif by Raja formalized</w:t>
        <w:br/>
        <w:t>by a share transfer agreement under suspensive conditions signed on July 24, 2024;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acquisition by Raja of the entire capital of</w:t>
        <w:br/>
        <w:t>Groupe Rétif, which is active in the sector of distribution to professionals</w:t>
        <w:br/>
        <w:t>of equipment, accessories, and supplies for the arrangement of private or public places.</w:t>
        <w:br/>
        <w:t>The operation constitutes a concentration within the meaning of Article L. 430-1 of the Commercial Code.</w:t>
        <w:br/>
        <w:t>Considering the turnover achieved by the concerned companies, the operation does not fall</w:t>
        <w:br/>
        <w:t>under the jurisdiction of the European Union. On the other hand, the control thresholds mentioned</w:t>
        <w:br/>
        <w:t>in I of Article L. 430-2 of the Commercial Code are exceeded. The present operation is therefore</w:t>
        <w:br/>
        <w:t>subject to the provisions of Articles L. 430-3 and following of the Commercial Code relating to</w:t>
        <w:br/>
        <w:t>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24-165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