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24-DCC-192 of September 6, 2024  </w:t>
        <w:br/>
        <w:t xml:space="preserve">regarding the exclusive control acquisition of the company Prestige Cars by the  </w:t>
        <w:br/>
        <w:t xml:space="preserve">company Limousine de Gestion et d’Investissement  </w:t>
        <w:br/>
        <w:t xml:space="preserve">The Competition Authority,  </w:t>
        <w:br/>
        <w:t xml:space="preserve">Having regard to the complete notification file submitted to the mergers department on August 22, 2024,  </w:t>
        <w:br/>
        <w:t xml:space="preserve">concerning the exclusive control acquisition of the company Prestige Cars by the company Limousine de  </w:t>
        <w:br/>
        <w:t xml:space="preserve">Gestion et d’Investissement, formalized by a letter of intent signed on June 12,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Limousine de Gestion et  </w:t>
        <w:br/>
        <w:t xml:space="preserve">d’Investissement of the entire capital of the company Prestige Cars, which is active in the  </w:t>
        <w:br/>
        <w:t xml:space="preserve">automotive distribution and repair sector, through a dealership for the brands Volvo, Jaguar, and Land Rover,  </w:t>
        <w:br/>
        <w:t xml:space="preserve">in the municipality of Aubière (03). The operation constitutes a concentration within the meaning of  </w:t>
        <w:br/>
        <w:t xml:space="preserve">Article L. 430-1 of the Commercial Code. Given the turnover achieved by the concerned companies, the  </w:t>
        <w:br/>
        <w:t xml:space="preserve">operation does not fall under the jurisdiction of the European Union. On the other hand, the control thresholds  </w:t>
        <w:br/>
        <w:t xml:space="preserve">mentioned in II of Article L. 430-2 of the Commercial Code are exceeded. This operation is therefore subject  </w:t>
        <w:br/>
        <w:t xml:space="preserve">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24-208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