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https://www.autoritedelaconcurrence.fr/fr/decision-de-controle-des-concentrations/relative-la-prise-de-controle-exclusif-de-la-societe-453</w:t>
      </w:r>
    </w:p>
    <w:p>
      <w:r>
        <w:t>Pages translated : 15</w:t>
      </w:r>
    </w:p>
    <w:p/>
    <w:p>
      <w:r>
        <w:rPr>
          <w:b/>
        </w:rPr>
        <w:t>[Pages 1–3]</w:t>
      </w:r>
    </w:p>
    <w:p>
      <w:r>
        <w:t xml:space="preserve">FRENCH REPUBLIC  </w:t>
        <w:br/>
        <w:t xml:space="preserve">Decision No. 24-DCC-197 of September 13, 2024  </w:t>
        <w:br/>
        <w:t>regarding the exclusive control of Kindred Group by La Française des jeux</w:t>
      </w:r>
    </w:p>
    <w:p>
      <w:r>
        <w:t xml:space="preserve">The Competition Authority,  </w:t>
        <w:br/>
        <w:t xml:space="preserve">Having regard to the notification file submitted in full to the merger service on May 14, 2024, regarding the acquisition of control of Kindred Group, the parent company of the eponymous group, by La Française des jeux, formalized by a public offer dated February 19, 2024;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commitments submitted on May 14, 2024, and last modified on August 8, 2024, by the notifying party;  </w:t>
        <w:br/>
        <w:t xml:space="preserve">Having regard to the other documents in the file;  </w:t>
        <w:br/>
        <w:t>Adopts the following decision:</w:t>
      </w:r>
    </w:p>
    <w:p>
      <w:r>
        <w:t xml:space="preserve">I. The concerned companies and the operation  </w:t>
        <w:br/>
        <w:t xml:space="preserve">1. La Française des jeux is a public limited company whose capital is held 20% by the State, 15% by associations of former combatants, 5% by Predica, 3% by Soficoma, and 4% by employees, the remainder of the capital being held mainly by individuals (52%). Together with its various subsidiaries, it forms the FDJ group (hereinafter "FDJ"). FDJ is primarily active in the organization and operation of lottery games, sports betting, and horse racing betting in France. In this regard, FDJ benefits from exclusive rights for the organization and management of lottery games in France (at points of sale and online) and sports betting at points of sale under the brand "Parions Sport point de vente." FDJ also engages in activities open to competition (online sports betting and online poker), for which it holds licenses from the National Gaming Authority (hereinafter "ANJ"). FDJ also offers online horse racing betting services since the acquisition of ZEturf in September 2023 and manages a pool that consolidates the stakes of several online horse racing betting operators. Furthermore, FDJ provides services to points of sale as well as to other gambling operators internationally.  </w:t>
        <w:br/>
        <w:t xml:space="preserve">2. Kindred Group (hereinafter "Kindred") is a public limited company under Maltese law, listed on the Stockholm Stock Exchange, at the head of the eponymous group, which is active in the gambling sector, primarily in Europe. In France, SPS Betting France, a Maltese company wholly owned by Kindred, holds three licenses issued by the ANJ: the first for online horse racing betting, the second for online sports betting, and the third for online poker. All of these activities are marketed under the Unibet brand via the website "Unibet.fr."  </w:t>
        <w:br/>
        <w:t xml:space="preserve">3. The operation consists of a public offer to purchase Kindred's shares, announced on [January 22, 2024, and initiated on February 19, 2024], expiring no later than November 19, 2024, and subject to a success threshold of 90% of Kindred's shares. In the event of success, the operation would confer exclusive control of Kindred and its subsidiaries to FDJ. It therefore constitutes a concentration within the meaning of Article L. 430-1 of the Commercial Code.  </w:t>
        <w:br/>
        <w:t>4. The concerned companies together achieve a total worldwide turnover excluding taxes of more than 150 million euros (FDJ: 2,723.9 million euros for the fiscal year ending December 31, 2022; Kindred: [≥ 150 million] euros for the same fiscal year). Each of these companies generates, in France, a total turnover excluding taxes exceeding 50 million euros (FDJ: [≥ 50 million] euros for the fiscal year ending December 31, 2022; Kindred: [≥ 50 million] euros for the same fiscal year). Given these turnovers, the operation does not have a European dimension. However, the control thresholds mentioned in I of Article L. 430-2 of the Commercial Code are exceeded. Therefore, the present operation is subject to the provisions of Articles L. 430-3 and following of the Commercial Code, relating to economic concentration.</w:t>
      </w:r>
    </w:p>
    <w:p>
      <w:r>
        <w:t xml:space="preserve">II. Definition of Relevant Markets  </w:t>
        <w:br/>
        <w:t>5. The acquirer and the target are active in the gambling and betting markets (or "games and bets"). FDJ offers lottery games (at points of sale and online), sports betting (at points of sale and online), online horse racing bets, and online poker, while Kindred offers, exclusively online, horse racing bets, sports betting, and poker.</w:t>
      </w:r>
    </w:p>
    <w:p>
      <w:r>
        <w:t xml:space="preserve">A. THE SERVICE MARKETS  </w:t>
        <w:br/>
        <w:t xml:space="preserve">6. The Competition Authority (hereinafter "the Authority") has had the opportunity to delineate the markets in which the parties are active. No notable changes have been observed since the last decision regarding a concentration in the gambling and betting sector, rendered in September 2023. The following developments recall these definitions, reiterated in the context of this investigation, which have not been contested by the notifying party.  </w:t>
        <w:br/>
        <w:t xml:space="preserve">7. Within the gambling and betting sector, the Authority retains two types of segmentation.  </w:t>
        <w:br/>
        <w:t xml:space="preserve">1. SEGMENTATION OF THE GAMBLING AND BETTING MARKET BY OBJECT  </w:t>
        <w:br/>
        <w:t xml:space="preserve">8. The Authority distinguishes between games of chance and games such as sports betting, horse racing betting, or poker.  </w:t>
        <w:br/>
        <w:t xml:space="preserve">9. Games of chance do not require any specific skill from players. Their chances of winning rely "exclusively on the occurrence of events determined solely by mathematical probabilities" and are therefore identical for all players.  </w:t>
        <w:br/>
        <w:t>10. Horse racing betting, sports betting, and poker, on the other hand, "require skills or knowledge that are specific to each type of game." The Authority has</w:t>
      </w:r>
    </w:p>
    <w:p>
      <w:r>
        <w:rPr>
          <w:b/>
        </w:rPr>
        <w:t>[Pages 4–6]</w:t>
      </w:r>
    </w:p>
    <w:p>
      <w:r>
        <w:t>also concluded that "horse racing and sports betting are not substitutable for circle games such as poker, nor are they substitutable for each other"10.</w:t>
      </w:r>
    </w:p>
    <w:p>
      <w:r>
        <w:t>2. SEGMENTATION OF THE GAMING AND BETTING MARKET BY DISTRIBUTION CHANNEL</w:t>
      </w:r>
    </w:p>
    <w:p>
      <w:r>
        <w:t>11. The French legislator initially chose to establish a principle of prohibition of gambling and betting, to segment the offer by type of game, and to entrust a single operator, or several in the case of casinos, with the organization of these different games: FDJ for lottery games as well as for sports betting, PMU for horse racing bets, and casinos for casino games (notably circle games, such as poker).</w:t>
      </w:r>
    </w:p>
    <w:p>
      <w:r>
        <w:t>12. Since the law of May 12, 2010, relating to the opening up to competition and regulation of the online gambling and betting sector, sports betting, horse racing betting, and circle games have been opened to competition when offered online. The exercise of these activities requires a license from the regulator, currently the ANJ.</w:t>
      </w:r>
    </w:p>
    <w:p>
      <w:r>
        <w:t>13. This evolution of regulation has led the Authority to distinguish between the online gaming and betting markets and the retail gaming and betting markets.</w:t>
      </w:r>
    </w:p>
    <w:p>
      <w:r>
        <w:t>B. GEOGRAPHICAL MARKETS</w:t>
      </w:r>
    </w:p>
    <w:p>
      <w:r>
        <w:t>14. The Authority considers that the gaming and betting markets are of national dimension due to the existence of national exclusive rights or licenses granted by a national regulatory authority, significant differences in legislation between countries, and language barriers11.</w:t>
      </w:r>
    </w:p>
    <w:p>
      <w:r>
        <w:t>10 Authority Decision No. 14-D-04 cited above.</w:t>
      </w:r>
    </w:p>
    <w:p>
      <w:r>
        <w:t>11 Authority Decisions No. 22-DCC-219, No. 14-D-04, and No. 23-DCC-191 cited above.</w:t>
      </w:r>
    </w:p>
    <w:p>
      <w:r>
        <w:t>III. Competitive Analysis</w:t>
      </w:r>
    </w:p>
    <w:p>
      <w:r>
        <w:t>15. The table below presents a summary of the gaming and betting activities of FDJ and Kindred12.</w:t>
      </w:r>
    </w:p>
    <w:p>
      <w:r>
        <w:t>FDJ Kindred</w:t>
        <w:br/>
        <w:t>online horse racing bets</w:t>
        <w:br/>
        <w:t>in retail</w:t>
        <w:br/>
        <w:t>online sports betting</w:t>
        <w:br/>
        <w:t>in retail monopoly</w:t>
        <w:br/>
        <w:t>lottery13 online monopoly</w:t>
        <w:br/>
        <w:t>in retail monopoly</w:t>
        <w:br/>
        <w:t>online poker</w:t>
        <w:br/>
        <w:t>in circle</w:t>
      </w:r>
    </w:p>
    <w:p>
      <w:r>
        <w:t>A. ANALYSIS OF HORIZONTAL EFFECTS</w:t>
      </w:r>
    </w:p>
    <w:p>
      <w:r>
        <w:t>16. FDJ and Kindred are both active online in sports betting, horse racing betting, and poker.</w:t>
      </w:r>
    </w:p>
    <w:p>
      <w:r>
        <w:t>17. The market shares of the new entity and the main competitors are presented below.</w:t>
      </w:r>
    </w:p>
    <w:p>
      <w:r>
        <w:t>12 The activities carried out by the parties are indicated in blue.</w:t>
      </w:r>
    </w:p>
    <w:p>
      <w:r>
        <w:t>13 The lottery games offered by FDJ include both draw games (Euromillions, Keno, etc.) and scratch games (Illiko, etc.).</w:t>
      </w:r>
    </w:p>
    <w:p>
      <w:r>
        <w:t>Online Sports Betting Market: Estimated Market Shares by the Notifying Party (2023)</w:t>
      </w:r>
    </w:p>
    <w:p>
      <w:r>
        <w:t>FDJ [10-20] %</w:t>
        <w:br/>
        <w:t>Kindred [10-20] %</w:t>
        <w:br/>
        <w:t>New Entity [20-30] %</w:t>
        <w:br/>
        <w:t>Winamax [30-40] %</w:t>
        <w:br/>
        <w:t>Betclic [30-40] %</w:t>
        <w:br/>
        <w:t>PMU [0-5] %</w:t>
        <w:br/>
        <w:t>Flutter Entertainment (Pokerstars) [0-5] %</w:t>
        <w:br/>
        <w:t>Others [0-5] %</w:t>
        <w:br/>
        <w:t>Total 100 %</w:t>
      </w:r>
    </w:p>
    <w:p>
      <w:r>
        <w:t>18. In the online sports betting market, the new entity will hold a market share of [20-30] %, placing it in third position behind Winamax ([30-40] %) and Betclic ([30-40] %).</w:t>
      </w:r>
    </w:p>
    <w:p>
      <w:r>
        <w:t>19. The operation is therefore not likely to lead to unilateral effects in this market, given that the market share of the new entity is below 25%, a threshold below which the absence of market power is presumed14.</w:t>
      </w:r>
    </w:p>
    <w:p>
      <w:r>
        <w:t>20. It is also not likely to lead to coordinated effects. Indeed, the three dominant players could hardly establish a common course of action given the lack of homogeneity of the products offered by the different operators in the market. There are numerous possibilities for betting formulas and combinations, and the odds and pricing strategies can vary from one operator to another for a given bet. Furthermore, there is a significant number of betting formulas and odds offered each day by each operator for each sporting event.</w:t>
      </w:r>
    </w:p>
    <w:p>
      <w:r>
        <w:t>21. In any case, any common course of action would likely be challenged given the presence of several competing operators that are part of groups with expertise in pricing and significant investment capabilities15 or that have recently entered this market16, indicating an absence of significant barriers to entry. Competitors could destabilize any attempt at coordination among the dominant operators. Similarly, if the bettors of the dominant operators were to consider the proposed conditions unsatisfactory,</w:t>
      </w:r>
    </w:p>
    <w:p>
      <w:r>
        <w:t>14 Paragraph 624 of the Authority's guidelines on the control of concentrations.</w:t>
      </w:r>
    </w:p>
    <w:p>
      <w:r>
        <w:t>15 Such as the Flutter Entertainment (Poker Stars) group, GCV Holdings/Entain (Bwin).</w:t>
      </w:r>
    </w:p>
    <w:p>
      <w:r>
        <w:t>16 The ANJ has granted:</w:t>
        <w:br/>
        <w:t>- in 2022, three new licenses: to Vbet France SAS (brand Vbet), BCFR1 (brand Partouche Sport), and BCFR2 (brand Barrierebet);</w:t>
        <w:br/>
        <w:t>- in 2023, two new licenses, to Betsson France SAS (brand Betsson) and France-Pari.</w:t>
      </w:r>
    </w:p>
    <w:p>
      <w:r>
        <w:rPr>
          <w:b/>
        </w:rPr>
        <w:t>[Pages 7–9]</w:t>
      </w:r>
    </w:p>
    <w:p>
      <w:r>
        <w:t>satisfactory, they could easily turn to other operators without cost or time constraints.</w:t>
      </w:r>
    </w:p>
    <w:p>
      <w:r>
        <w:t>Online Horse Racing Betting Market: Estimated Market Shares by the Notifying Party (2023) FDJ [10-20] % Kindred [0-5] % New Entity [20-30] % PMU [70-80] % Betclic [0-5] % Genybet [0-5] % Total 100 % 22. In the online horse racing betting market, the new entity will hold a market share of [20-30] %, far behind PMU ([70-80] %). The operation is therefore not likely to lead to horizontal effects in this market.</w:t>
      </w:r>
    </w:p>
    <w:p>
      <w:r>
        <w:t>Online Poker Market: Estimated Market Shares by the Notifying Party (2023) FDJ [0-5] % Kindred [5-10] % New Entity [10-20] % Winamax [60-70] % Betclic [10-20] % Flutter Entertainment (Pokerstars) [5-10] % PMU [0-5] % Entain (Bwin/Partypoker) [0-5] % Total 100 % 23. In the online poker market, the new entity will hold a market share of [10-20] %, behind Winamax ([60-70] %) and Betclic ([10-20] %). 24. The operation is therefore not likely to lead to unilateral effects in this market.</w:t>
      </w:r>
    </w:p>
    <w:p>
      <w:r>
        <w:t>25. Considering all these elements, the operation is not likely to harm competition through horizontal effects in the online gaming and betting markets.</w:t>
      </w:r>
    </w:p>
    <w:p>
      <w:r>
        <w:t>B. ANALYSIS OF CONGLOMERATE EFFECTS 26. The present operation occurs a few months after FDJ strengthened its position in the online betting sector by acquiring ZEturf (hereinafter "the ZEturf operation"). This concentration resulted in FDJ entering the online horse racing betting market, the only market in the online gaming sector that it had not yet invested in, and increasing its market share in online sports betting. The Authority had then authorized the ZEturf operation by its decision No. 23-DCC-191 of September 15, 2023, subject to FDJ adhering to a number of commitments as the concentration was likely to generate risks of harming competition through conglomerate effects. 27. Indeed, while the ZEturf operation did not pose risks to competition due to overlaps in activities or vertical links between FDJ and ZEturf, it was likely to generate conglomerate effects in the competitive online gaming and betting markets, due to the connection between the monopoly activities exercised by FDJ and the online sports and horse racing betting activities of ZEturf. FDJ would have had the capacity and incentive to leverage its monopolistic position in online lottery games and in-store sports betting to restrict or prevent access and development of competitors in the online sports and horse racing betting markets. Such behavior posed a risk of significantly reducing the online horse racing and sports betting sales of competitors and thus leading to a reduction in the supply of competitive gaming. 28. To mitigate this risk, FDJ undertook a series of behavioral commitments ("ZEturf commitments"), aimed, in substance, at separating the monopoly activities from all its competitive activities (online horse racing betting, online sports betting, and online poker). FDJ also made commitments to avoid any risk of locking competitors out of the common pool of online horse racing bets that it took over in the context of the acquisition of ZEturf. 29. The implementation of these commitments is ongoing, under the supervision of an independent trustee. 30. Given Kindred's activity in the related markets of online sports and horse racing betting and online poker, the present concentration is likely to present the same types of conglomerate risks as those identified by the Authority in the examination of the ZEturf operation. 31. However, insofar as the ZEturf commitments apply to the activities of online horse racing betting, online sports betting, and online poker marketed in France by FDJ following the ZEturf operation, they do not include Kindred's activity. Consequently, without disregarding the provisions of the ongoing commitments, FDJ could commercially link the online horse racing betting, online sports betting, and online poker offers of Unibet with its offers of games under exclusive rights (lottery, in-store sports betting). In this case, the new entity could be tempted to establish links between the monopoly gaming offers provided by FDJ and those provided by the target that would involve the promotion of online sports and horse racing betting and online poker to monopoly game players (i), the implementation of commercial offers encouraging monopoly game players to engage in online sports and horse racing betting and online poker (ii), maintaining confusion between the customer journeys of monopoly game players and those of online horse racing and sports betting and online poker players (iii), and the use of a single customer account for all the games offered (iv). 32. The notifying party believes that the ZEturf commitments, by extending them to Kindred's activities, would be sufficient to address the risks of similar conglomerate effects. 33. However, the market tests of the commitments conducted by the Authority with the competitors of the parties revealed the need to supplement the ongoing commitments since the completion of the ZEturf operation on September 29, 2023.</w:t>
      </w:r>
    </w:p>
    <w:p>
      <w:r>
        <w:t>IV. The Commitments A. THE ONGOING COMMITMENTS (ZETURF OPERATION) Commitment No. 1: Maintenance of the pooling agreements (access of online horse racing betting competitors to the common pool) 34. FDJ has committed to provide any licensed operator in France for online horse racing betting who requests it, access under objective and non-discriminatory conditions to the common pool of online horse racing bets that it manages and to continue the execution of the ongoing pooling agreements, under the conditions in force as of September 29, 2023. Furthermore, FDJ has committed not to cease pooling its online horse racing bets within the common pool open to third-party operators. This commitment is made for a duration of five years from September 29, 2023, renewable once. Commitment No. 2: Absence of exploitation of physical point of sale activities for the development of competitive games 35. FDJ has committed to refrain from promoting its competitive games in the points of sale of its network and not to issue game credits or other bonuses usable on its competitive game offers from the gaming terminals installed in the licensed points of sale of its network (commitment No. 2a: "absence of commercial promotion targeting players of games under exclusive rights"). 36. FDJ has committed to offer its competitive game offers on one or more gaming websites and on one or more applications distinct from the websites and applications that can be used by players in support of the activities in points of sale, and not to provide a common homepage. FDJ has also committed not to integrate on the websites and applications that can be used by players in support of the activities in points of sale any gateway that would allow the player to directly access a website or application dedicated to competitive games, and vice versa (commitment No. 2b: "maintenance of distinct customer journeys").</w:t>
      </w:r>
    </w:p>
    <w:p>
      <w:r>
        <w:rPr>
          <w:b/>
        </w:rPr>
        <w:t>[Pages 10–12]</w:t>
      </w:r>
    </w:p>
    <w:p>
      <w:r>
        <w:t>Commitment No. 3: Absence of Exploitation of Online Lottery Activities for the Development of Competitive Games</w:t>
      </w:r>
    </w:p>
    <w:p>
      <w:r>
        <w:t>37. FDJ has committed to refrain from implementing any commercial action (for example, promotional communication, welcome gifts, bonuses or advantages) that would specifically target or aim at online lottery players, identified by FDJ as such, in order to encourage them to play competitive games (commitment No. 3a: "absence of commercial promotion targeting online lottery players").</w:t>
      </w:r>
    </w:p>
    <w:p>
      <w:r>
        <w:t>38. FDJ has committed to offer its competitive game offerings on one or more gaming websites or on one or more applications distinct from the online lottery gaming websites and applications, and not to provide a common homepage. FDJ has also committed not to integrate on the online lottery websites and applications any gateway that would allow the player to directly access a website or application dedicated to competitive games, and vice versa (commitment No. 3b: "maintenance of distinct customer journeys").</w:t>
      </w:r>
    </w:p>
    <w:p>
      <w:r>
        <w:t>39. FDJ has committed to create and/or maintain a player account (including the associated wallet) specific to online lottery, excluding any competitive games, as well as a player account (including the associated wallet) specific to competitive games, excluding any activity under exclusive rights. FDJ has also committed not to integrate any direct gateway between the player account specific to online lottery (and, where applicable, any other activity under exclusive rights) and any player account or digital space dedicated to competitive games. The steps and timelines for this process of separating player accounts, which do not exceed 30 months in total from September 29, 2023 ("transitional period"), are detailed in points 34 to 36 of the ZEturf commitments (commitment No. 3c: "separation of player accounts").</w:t>
      </w:r>
    </w:p>
    <w:p>
      <w:r>
        <w:t>40. FDJ has committed, at the end of the transitional period, to separate the customer databases and the commercial teams authorized to access them (commitment No. 3d).</w:t>
      </w:r>
    </w:p>
    <w:p>
      <w:r>
        <w:t>41. FDJ has committed, at the end of the transitional period, to establish and operate social media accounts concerning its competitive game offerings that are distinct from those concerning its offerings of games under exclusive rights (commitment No. 3e).</w:t>
      </w:r>
    </w:p>
    <w:p>
      <w:r>
        <w:t>42. FDJ has also made a specific commitment during the transitional period during which it must maintain the player accounts allowing play on the games marketed under the brands "ZEbet" and "ZEturf" separate from the player accounts that are not yet compliant with the conditions set out in points 32 to 34 of the ZEturf commitments.</w:t>
      </w:r>
    </w:p>
    <w:p>
      <w:r>
        <w:t>Commitment No. 4: Spin-off of Competitive Games</w:t>
      </w:r>
    </w:p>
    <w:p>
      <w:r>
        <w:t>43. FDJ has committed to continue a process initiated to organize its competitive gaming activities within one or more dedicated subsidiaries within a period of 30 months from September 29, 2023.</w:t>
      </w:r>
    </w:p>
    <w:p>
      <w:r>
        <w:t>Commitment No. 5: Training of Commercial Teams</w:t>
      </w:r>
    </w:p>
    <w:p>
      <w:r>
        <w:t>44. FDJ has committed to establish a training system for all teams employed by FDJ for the promotion of games under exclusive rights and competitive games, as well as for the management of the retail network activities, regarding compliance with commitments No. 2 and No. 3.</w:t>
      </w:r>
    </w:p>
    <w:p>
      <w:r>
        <w:t>45. Commitments No. 2, 3, 4, and 5 have been made for the entire duration of FDJ's right to market games under exclusive rights, for a maximum duration of 25 years from May 23, 2019.</w:t>
      </w:r>
    </w:p>
    <w:p>
      <w:r>
        <w:t>B. THE COMMITMENTS PROPOSED IN THE CONTEXT OF THE PRESENT OPERATION</w:t>
      </w:r>
    </w:p>
    <w:p>
      <w:r>
        <w:t>46. On May 14, 2024, FDJ presented a proposal for commitments incorporating all the terms of the ZEturf commitments by extending them to Kindred's activities in France.</w:t>
      </w:r>
    </w:p>
    <w:p>
      <w:r>
        <w:t>47. The content of this version of the commitments was subject to a market test with third-party operators and professional organizations, which deemed that the proposed commitments were insufficient to address the identified competition issues.</w:t>
      </w:r>
    </w:p>
    <w:p>
      <w:r>
        <w:t>48. On July 22, 2024, FDJ presented a new proposal for commitments, the content of which was again submitted to a market test.</w:t>
      </w:r>
    </w:p>
    <w:p>
      <w:r>
        <w:t>49. On August 8, 2024, FDJ presented a final proposal for commitments that was deemed sufficient by the Authority to address the competition concerns raised by the operation. These commitments replicate and complement the ZEturf commitments: they also cover the activities of the ZEturf group acquired in 2023. They have been made by FDJ SA on behalf of all companies in the FDJ group.</w:t>
      </w:r>
    </w:p>
    <w:p>
      <w:r>
        <w:t>50. The commitments of August 8, 2024, are therefore those presented in the developments that follow. Their text, attached as an annex, forms an integral part of this decision.</w:t>
      </w:r>
    </w:p>
    <w:p>
      <w:r>
        <w:t>Commitment No. 1: Maintenance of Mutualization Agreements (Access of Competing Online Horse Racing Operators to the Common Pool)</w:t>
      </w:r>
    </w:p>
    <w:p>
      <w:r>
        <w:t>51. This commitment, similar to ZEturf commitment No. 1 described in paragraph 34 above, is made for a duration of 5 years from the date of completion of the present operation. It is potentially renewable once.</w:t>
      </w:r>
    </w:p>
    <w:p>
      <w:r>
        <w:t>Commitment No. 2: Absence of Exploitation of Activities Under Exclusive Rights in Retail for the Development of Competitive Games</w:t>
      </w:r>
    </w:p>
    <w:p>
      <w:r>
        <w:t>52. This commitment is similar to ZEturf commitment No. 2 described in paragraphs 35 and 36 above, including, in the competitive games concerned, the activities of Kindred Group in France under the Unibet brand and the activities of the ZEturf group under the ZEturf and ZEbet brands, as well as any other potential gambling operator activity of FDJ in France falling within the scope of the prohibition set out in Articles L. 320-1 and following of the Internal Security Code, which may potentially be liberalized and opened to any operator licensed by the ANJ in the future.</w:t>
      </w:r>
    </w:p>
    <w:p>
      <w:r>
        <w:t>Commitment No. 3: Absence of Exploitation of Activities Under Exclusive Rights Online for the Development of Competitive Games</w:t>
      </w:r>
    </w:p>
    <w:p>
      <w:r>
        <w:t>53. This commitment is similar to ZEturf commitment No. 3 described in paragraphs 37 to 42 above, including in the competitive games concerned the same activities detailed in the previous paragraph.</w:t>
      </w:r>
    </w:p>
    <w:p>
      <w:r>
        <w:t>54. FDJ has also reiterated its specific commitment for the transitional period by specifying that from the date of completion of the present operation and until March 29, 2025 at the latest, it will maintain the player accounts allowing play in France on the games marketed under the brands ZEbet, ZEturf, and Unibet separate from the FDJ player accounts that are not yet compliant with the conditions set out by commitment No. 3c ("separation of FDJ player accounts").</w:t>
      </w:r>
    </w:p>
    <w:p>
      <w:r>
        <w:t>Commitment No. 4: Spin-off of Competitive Games</w:t>
      </w:r>
    </w:p>
    <w:p>
      <w:r>
        <w:t>55. This commitment is similar to ZEturf commitment No. 4 described in paragraph 43: FDJ commits to continue its initiated process to organize its competitive gaming activities within one or more dedicated subsidiaries by no later than June 30, 2025.</w:t>
      </w:r>
    </w:p>
    <w:p>
      <w:r>
        <w:t>Commitment No. 5: Separation of Brands</w:t>
      </w:r>
    </w:p>
    <w:p>
      <w:r>
        <w:t>56. This is a new commitment made by FDJ to respond to observations from third parties consulted in the context of the market tests conducted by the Authority.</w:t>
      </w:r>
    </w:p>
    <w:p>
      <w:r>
        <w:t>57. FDJ commits that all competitive game offerings will eventually be marketed under one or more brands specific to competitive games and will not have any common root or common logo with the FDJ brands, Parions Sport Point de Vente, or any other brand under which FDJ would market its games under exclusive rights in France.</w:t>
      </w:r>
    </w:p>
    <w:p>
      <w:r>
        <w:t>58. FDJ commits that this commitment will be effective no later than March 31, 2026, given the existence of numerous prerequisites (brand launch timelines, migration processes) that FDJ considers can only be implemented after the effective separation phase of FDJ player accounts (commitment No. 3c).</w:t>
      </w:r>
    </w:p>
    <w:p>
      <w:r>
        <w:t>59. In the meantime, FDJ commits to maintain competitive game offerings under the brands Unibet and ZEturf and not to:</w:t>
        <w:br/>
        <w:t>- associate its own brand(s) for competitive games (including their logo) with commercial or promotional communications (including in the context of sports partnerships) concerning its games under exclusive rights or its exclusive rights game brands;</w:t>
        <w:br/>
        <w:t>- conversely, not to associate the FDJ brand, Parions Sport Point de Vente, or any other brand under which FDJ would market its games under exclusive rights in France (including their logo), with commercial or promotional communications (including in the context of sports partnerships) concerning its competitive games or its competitive game brand(s);</w:t>
        <w:br/>
        <w:t>- not to refer to FDJ's activities regarding games under exclusive rights in commercial or promotional communications (including in the context of sports partnerships) concerning its competitive games or its competitive game brand(s).</w:t>
      </w:r>
    </w:p>
    <w:p>
      <w:r>
        <w:t>60. The commitment provides in its paragraph 52 exceptions motivated by the absence of effective separations at the date of completion of the present operation.</w:t>
      </w:r>
    </w:p>
    <w:p>
      <w:r>
        <w:t>Commitment No. 6: Training of Commercial Teams</w:t>
      </w:r>
    </w:p>
    <w:p>
      <w:r>
        <w:t>61. This commitment is similar to ZEturf commitment No. 5, described in paragraph 44, including in its scope the games marketed in France under the brands ZEturf, ZEbet, and Unibet and providing for initial training sessions for future commercial teams currently employed by Kindred within three months following the date of completion of the present operation.</w:t>
      </w:r>
    </w:p>
    <w:p>
      <w:r>
        <w:rPr>
          <w:b/>
        </w:rPr>
        <w:t>[Pages 13–15]</w:t>
      </w:r>
    </w:p>
    <w:p>
      <w:r>
        <w:t>C. ASSESSMENT OF THE PROPOSED COMMITMENTS</w:t>
      </w:r>
    </w:p>
    <w:p>
      <w:r>
        <w:t>62. By their nature, these commitments allow, like the ZEturf commitments, to effectively prevent any risk of the implementation of a conglomerate strategy by FDJ, which would link its games offered under exclusive rights and the competitive games offered by Kindred, in the online horse racing and sports betting markets and online poker.</w:t>
      </w:r>
    </w:p>
    <w:p>
      <w:r>
        <w:t>63. In the horse racing markets, FDJ has reiterated its commitment to maintain mutualization agreements (access for online horse racing betting competitors to the common pool) by now specifying the information that the company managing the common pool must make available daily to the operators who are signatories to a mutualization agreement.</w:t>
      </w:r>
    </w:p>
    <w:p>
      <w:r>
        <w:t>64. FDJ also commits to clearly separate the operation of its two types of activities (competitive/exclusive rights), whether in commercial promotions, customer journeys, player accounts, and customer databases, so that they are specific to each activity. FDJ also commits not to use the information collected from its exclusive rights gaming customers to encourage that same customer base to play competitive games, particularly online sports betting. Thus, any cross-utilization of its customer databases is excluded. Furthermore, it is provided that the teams employed for the promotion of exclusive rights games and competitive games will be quickly trained, within three months following the date of completion of the concentration operation.</w:t>
      </w:r>
    </w:p>
    <w:p>
      <w:r>
        <w:t>65. Specifically regarding customer accounts, every player must open a customer account for each type of activity (exclusive rights games or competitive games). It will not be possible to register in addition to the exclusive rights games offer or that of competitive games, and deposits or winnings made on a customer account opened for an exclusive rights gaming activity cannot be transferred to a customer account opened for a competitive gaming activity and vice versa.</w:t>
      </w:r>
    </w:p>
    <w:p>
      <w:r>
        <w:t>66. The commitment to subsidiary operations reinforces the separation of monopoly gaming activities and games open to competition, and its entry into force has been advanced compared to that initially planned (i.e., March 29, 2026) in the ZEturf commitments, as this commitment must now be implemented by June 30, 2025, at the latest.</w:t>
      </w:r>
    </w:p>
    <w:p>
      <w:r>
        <w:t>67. FDJ has also made a new commitment to address several observations from respondents to the market test. Regarding the brands used by FDJ for in-store sports betting and for online sports betting, FDJ commits, by March 31, 2026, at the latest, that competitive gaming offers will be marketed under one or more brands specific to competitive games and not containing a common root or common logo with the FDJ brands (notably Parions Sport Point de Vente) corresponding to the exclusive rights gaming offers.</w:t>
      </w:r>
    </w:p>
    <w:p>
      <w:r>
        <w:t>68. This commitment to brand separation, as well as those aimed at not conducting cross-promotional or commercial communications, will help avoid any risk of confusion in the minds of players between exclusive rights activities and competitive activities, particularly regarding sports betting, and to clearly display the separation between the two types of activities, while the present operation will allow FDJ to double its market share in online sports betting.</w:t>
      </w:r>
    </w:p>
    <w:p>
      <w:r>
        <w:t>69. The Authority considers that these commitments are proportionate as they aim to remedy the risks specifically identified as being raised by the operation. Moreover, they provide operational modalities governing their implementation and foresee an adequate control mechanism.</w:t>
      </w:r>
    </w:p>
    <w:p>
      <w:r>
        <w:t>70. Specifically regarding the entry into force of the separation of mixed player accounts (commitment No. 3c), several respondents to the market test on the commitments denounce the late nature of its entry into force (by March 29, 2025, at the latest). However, given the significant IT developments required to successfully implement this separation, the entry into force date of this commitment is appropriate in this case and has not been subject to an additional delay compared to that which FDJ committed to respect in September 2023 as part of the ZEturf operation. Indeed, the separation of non-mixed player accounts must be implemented by September 29, 2024, at the latest, and the separation of mixed player accounts must be implemented by March 29, 2025, at the latest.</w:t>
      </w:r>
    </w:p>
    <w:p>
      <w:r>
        <w:t>71. Regarding the entry into force of the separation of brands and logos (commitment No. 5), several respondents to the market test on the commitments also denounce an entry into force that is too late (by March 31, 2026, at the latest). However, considering the timelines related to the ZEturf commitments concerning the separation of accounts, a necessary prerequisite for the grouping of competitive gaming activities into one or more dedicated subsidiaries, the processes for migrating player accounts across several successive platforms, and the various IT developments necessary for this purpose, the entry into force date of this commitment is appropriate in this case.</w:t>
      </w:r>
    </w:p>
    <w:p>
      <w:r>
        <w:t>72. Finally, these commitments will apply for the entire duration of FDJ's right to market games under exclusive rights, i.e., for a maximum duration of 25 years from May 23, 2019.</w:t>
      </w:r>
    </w:p>
    <w:p>
      <w:r>
        <w:t>***</w:t>
      </w:r>
    </w:p>
    <w:p>
      <w:r>
        <w:t>73. In light of all the above elements, the Authority considers that the commitments proposed by FDJ are sufficient to eliminate any risk of harm to competition in the relevant markets.</w:t>
      </w:r>
    </w:p>
    <w:p>
      <w:r>
        <w:t>DECIDES</w:t>
      </w:r>
    </w:p>
    <w:p>
      <w:r>
        <w:t>Single Article: The operation notified under number 24-018 is authorized subject to the commitments described in paragraphs 34 to 73 above and annexed to this decision.</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