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https://www.autoritedelaconcurrence.fr/fr/decision-de-controle-des-concentrations/relative-la-prise-de-controle-exclusif-de-la-societe-454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24-DCC-205 of September 20, 2024</w:t>
        <w:br/>
        <w:t>regarding the exclusive control acquisition of the company Adental Groupe by</w:t>
        <w:br/>
        <w:t>Tikehau Capital</w:t>
        <w:br/>
        <w:t>The Competition Authority,</w:t>
        <w:br/>
        <w:t>Having regard to the complete notification file sent to the mergers department on September 5, 2024,</w:t>
        <w:br/>
        <w:t>concerning the exclusive control acquisition of the company Adental Groupe by Tikehau Capital</w:t>
        <w:br/>
        <w:t>formalized by a unilateral purchase promise signed on September 4, 2024;</w:t>
        <w:br/>
        <w:t>Having regard to Book IV of the Commercial Code relating to the freedom of prices and competition, and</w:t>
        <w:br/>
        <w:t>notably its Articles L. 430-1 to L. 430-7;</w:t>
        <w:br/>
        <w:t>Having regard to the additional elements submitted by the notifying party during the investigation;</w:t>
        <w:br/>
        <w:t>Adopts the following decision:</w:t>
        <w:br/>
        <w:t>1. The notified operation consists of the acquisition by several funds and investment vehicles</w:t>
        <w:br/>
        <w:t>represented by Tikehau Investment Management, a 100% subsidiary of Tikehau Capital SCA,</w:t>
        <w:br/>
        <w:t>of all the capital and voting rights of the company Adental Groupe, which is active,</w:t>
        <w:br/>
        <w:t>with its subsidiaries, in the sector of providing services to health centers.</w:t>
        <w:br/>
        <w:t>The operation constitutes a concentration within the meaning of Article L. 430-1 of the Commercial Code.</w:t>
        <w:br/>
        <w:t>Given the turnover achieved by the concerned companies, the operation does not fall</w:t>
        <w:br/>
        <w:t>under the jurisdiction of the European Union. On the other hand, the control thresholds mentioned</w:t>
        <w:br/>
        <w:t>in I of Article L. 430-2 of the Commercial Code are exceeded. The present operation is therefore</w:t>
        <w:br/>
        <w:t>subject to the provisions of Articles L. 430-3 and following of the Commercial Code relating to</w:t>
        <w:br/>
        <w:t>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24-207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