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https://www.autoritedelaconcurrence.fr/fr/decision-de-controle-des-concentrations/relative-la-prise-de-controle-exclusif-de-la-societe-455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24-DCC-226 of October 14, 2024</w:t>
        <w:br/>
        <w:t>regarding the exclusive control acquisition of the company</w:t>
        <w:br/>
        <w:t>Groupe Teaminside by the company RB Capital France 2</w:t>
        <w:br/>
        <w:t>The Competition Authority,</w:t>
        <w:br/>
        <w:t>Having regard to the complete notification file sent to the mergers department on</w:t>
        <w:br/>
        <w:t>September 25, 2024, concerning the exclusive control acquisition of the company Groupe Teaminside by</w:t>
        <w:br/>
        <w:t>the company RB Capital France 2 formalized by a share transfer promise signed on September 24,</w:t>
        <w:br/>
        <w:t>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indirect acquisition by the company RB Capital France 2 SLP</w:t>
        <w:br/>
        <w:t>of the entire capital of the company Groupe Teaminside SAS and all of its subsidiaries,</w:t>
        <w:br/>
        <w:t>which are active in the fields of IT services and management consulting.</w:t>
        <w:br/>
        <w:t>The operation constitutes a concentration within the meaning of Article L. 430-1 of the Commercial Code.</w:t>
        <w:br/>
        <w:t>Given the turnover generated by the concerned companies, 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24-241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