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https://www.autoritedelaconcurrence.fr/fr/decision-de-controle-des-concentrations/relative-la-prise-de-controle-exclusif-de-la-societe-456</w:t>
      </w:r>
    </w:p>
    <w:p>
      <w:r>
        <w:t>Pages translated : 2</w:t>
      </w:r>
    </w:p>
    <w:p/>
    <w:p>
      <w:r>
        <w:rPr>
          <w:b/>
        </w:rPr>
        <w:t>[Pages 1–2]</w:t>
      </w:r>
    </w:p>
    <w:p>
      <w:r>
        <w:t xml:space="preserve">FRENCH REPUBLIC  </w:t>
        <w:br/>
        <w:t xml:space="preserve">Decision No. 24-DCC-238 of November 12, 2024  </w:t>
        <w:br/>
        <w:t xml:space="preserve">regarding the exclusive control acquisition of the company Garage Moderne  </w:t>
        <w:br/>
        <w:t>by the company Nomblot Frères</w:t>
      </w:r>
    </w:p>
    <w:p>
      <w:r>
        <w:t>The Competition Authority,</w:t>
      </w:r>
    </w:p>
    <w:p>
      <w:r>
        <w:t xml:space="preserve">Having regard to the complete notification file submitted to the mergers department on October 22, 2024,  </w:t>
        <w:br/>
        <w:t xml:space="preserve">concerning the exclusive control acquisition of the company Garage Moderne by the company Nomblot Frères, formalized by a share transfer agreement signed on October 18, 2024;  </w:t>
        <w:br/>
        <w:t>Having regard to Book IV of the Commercial Code relating to the freedom of prices and competition, and in particular its Articles L. 430-1 to L. 430-7;</w:t>
      </w:r>
    </w:p>
    <w:p>
      <w:r>
        <w:t>Adopts the following decision:</w:t>
      </w:r>
    </w:p>
    <w:p>
      <w:r>
        <w:t>1. The notified transaction consists of the acquisition by the company Nomblot Frères of all the shares constituting the capital of the company Garage Moderne. The company Garage Moderne engages in automobile distribution and repair under the brands DS Automobiles and Citroën from four establishments located in Chalon-sur-Saône, Sance, Montceau-les-Mines, and Le Creusot (71). The transaction constitutes a concentration within the meaning of Article L. 430-1 of the Commercial Code. Given the turnover achieved by the companies involved, the transaction does not fall under the jurisdiction of the European Union. However, the control thresholds mentioned in II of Article L. 430-2 of the Commercial Code are exceeded. This transaction is therefore subject to the provisions of Articles L. 430-3 and following of the Commercial Code relating to economic concentration.</w:t>
      </w:r>
    </w:p>
    <w:p>
      <w:r>
        <w:t>2. In light of the elements of the file, the transaction is not likely to harm competition in the relevant markets.</w:t>
      </w:r>
    </w:p>
    <w:p>
      <w:r>
        <w:t xml:space="preserve">DECIDES  </w:t>
        <w:br/>
        <w:t xml:space="preserve">Sole Article: The transaction notified under number 24-265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