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24-DCC-268 of December 6, 2024  </w:t>
        <w:br/>
        <w:t xml:space="preserve">regarding the exclusive control acquisition of the company Smovengo  </w:t>
        <w:br/>
        <w:t xml:space="preserve">and certain assets held by the company Fifteen  </w:t>
        <w:br/>
        <w:t>by the company Indigo Infra</w:t>
      </w:r>
    </w:p>
    <w:p>
      <w:r>
        <w:t>The Competition Authority,</w:t>
      </w:r>
    </w:p>
    <w:p>
      <w:r>
        <w:t xml:space="preserve">Having regard to the complete notification file sent to the mergers department on November 8, 2024,  </w:t>
        <w:br/>
        <w:t xml:space="preserve">concerning the exclusive control acquisition of the company Smovengo and certain assets held by the  </w:t>
        <w:br/>
        <w:t>company Fifteen by the company Indigo Infra, formalized by two contracts and a transfer deed dated October 30,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acquisition by the company Indigo Infra of all the shares  </w:t>
        <w:br/>
        <w:t xml:space="preserve">and voting rights of the company Smovengo, on the one hand, and all contracts, goods, equipment,  </w:t>
        <w:br/>
        <w:t xml:space="preserve">and stock related to the operation of the Vélib’ Activity of Fifteen grouped in a newly created business  </w:t>
        <w:br/>
        <w:t xml:space="preserve">fund, on the other hand. These operations constitute interdependent operations. The notified operation  </w:t>
        <w:br/>
        <w:t xml:space="preserve">thus constitutes a concentration operation within the meaning of Article L. 430-1 of the Commercial Code.  </w:t>
        <w:br/>
        <w:t xml:space="preserve">Given the turnover achieved by the concerned companies, the operation does not fall under the  </w:t>
        <w:br/>
        <w:t xml:space="preserve">competence of the European Union. On the other hand, the control thresholds mentioned in point I of  </w:t>
        <w:br/>
        <w:t xml:space="preserve">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24-239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