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https://www.autoritedelaconcurrence.fr/fr/decision-de-controle-des-concentrations/relative-la-prise-de-controle-exclusif-de-la-societe-458</w:t>
      </w:r>
    </w:p>
    <w:p>
      <w:r>
        <w:t>Pages translated : 2</w:t>
      </w:r>
    </w:p>
    <w:p/>
    <w:p>
      <w:r>
        <w:rPr>
          <w:b/>
        </w:rPr>
        <w:t>[Pages 1–2]</w:t>
      </w:r>
    </w:p>
    <w:p>
      <w:r>
        <w:t xml:space="preserve">FRENCH REPUBLIC  </w:t>
        <w:br/>
        <w:t xml:space="preserve">Decision No. 24-DCC-276 of December 10, 2024  </w:t>
        <w:br/>
        <w:t xml:space="preserve">regarding the exclusive control acquisition of the company Antilles Santé by the  </w:t>
        <w:br/>
        <w:t xml:space="preserve">company Alma Patrimoine  </w:t>
        <w:br/>
        <w:t xml:space="preserve">The Competition Authority,  </w:t>
        <w:br/>
        <w:t xml:space="preserve">Having regard to the complete notification file submitted to the mergers department on  </w:t>
        <w:br/>
        <w:t xml:space="preserve">November 19, 2024, concerning the exclusive control acquisition of the company Antilles Santé by the  </w:t>
        <w:br/>
        <w:t xml:space="preserve">company Alma Patrimoine formalized by a letter dated November 18, 2024, specifying the terms  </w:t>
        <w:br/>
        <w:t xml:space="preserve">of the purchase promise and those of the share transfer agreement;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Alma Patrimoine, a subsidiary of the Almaviva group, of all the shares of the Antilles Santé group, which is a private player in the health sector active in Guadeloupe where it operates two clinics. This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24-278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