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https://www.autoritedelaconcurrence.fr/fr/decision-de-controle-des-concentrations/relative-la-prise-de-controle-exclusif-de-la-societe-46</w:t>
      </w:r>
    </w:p>
    <w:p>
      <w:r>
        <w:t>Pages translated : 4</w:t>
      </w:r>
    </w:p>
    <w:p/>
    <w:p>
      <w:r>
        <w:rPr>
          <w:b/>
        </w:rPr>
        <w:t>[Pages 1–3]</w:t>
      </w:r>
    </w:p>
    <w:p>
      <w:r>
        <w:t xml:space="preserve">FRENCH REPUBLIC  </w:t>
        <w:br/>
        <w:t xml:space="preserve">Decision No. 12-DCC-03 of January 12, 2012  </w:t>
        <w:br/>
        <w:t xml:space="preserve">regarding the exclusive control of the company Longimpex by the  </w:t>
        <w:br/>
        <w:t xml:space="preserve">company Neftys Pharma  </w:t>
        <w:br/>
        <w:t xml:space="preserve">The Competition Authority,  </w:t>
        <w:br/>
        <w:t xml:space="preserve">Having regard to the notification file sent to the concentration service on November 10, 2011, and declared complete on December 8, 2011, regarding the exclusive control of the company Longimpex by the company Neftys Pharma, formalized by a memorandum of understanding dated October 28, 2011;  </w:t>
        <w:br/>
        <w:t xml:space="preserve">Having regard to Book IV of the Commercial Code relating to price freedom and competition, and in particular its Articles L. 430-1 to L. 430-7;  </w:t>
        <w:br/>
        <w:t xml:space="preserve">Having regard to the supplementary elements transmitted by the parties during the investigation;  </w:t>
        <w:br/>
        <w:t xml:space="preserve">Adopts the following decision:  </w:t>
        <w:br/>
        <w:t xml:space="preserve">I. The concerned companies and the operation  </w:t>
        <w:br/>
        <w:t xml:space="preserve">1. Neftys Pharma is a public limited company controlled by the company Alliando, which is itself controlled by Mr. Mignot. Alliando heads a group of companies active in the wholesale distribution of veterinary medicines and animal nutrition products, primarily as wholesale distributors and secondarily as depositaries.  </w:t>
        <w:br/>
        <w:t xml:space="preserve">2. The InVivo group (hereinafter "InVivo") is a union of agricultural cooperatives with variable capital that operates, both directly and through its subsidiaries, in several fields related to the agricultural world. InVivo holds the company Noé, which engages in wholesale distribution of veterinary products and operates a laboratory for the production of veterinary products. Noé holds 100% of the voting rights and capital of the company Longimpex, which is active in the wholesale distribution of veterinary products.  </w:t>
        <w:br/>
        <w:t>1 Wholesalers are traders while depositaries act on behalf of laboratories without the ownership of the products being transferred to them.</w:t>
      </w:r>
    </w:p>
    <w:p>
      <w:r>
        <w:t xml:space="preserve">3. Under the terms of the memorandum of understanding dated October 28, 2011, the operation consists of increasing the capital and voting rights of Longimpex so that Neftys Pharma holds all of them. Prior to the notified operation, the company Noé will contribute its wholesale distribution activity of veterinary products to Longimpex. In compensation for its contribution, Noé will receive shares representing approximately 16% of the share capital and voting rights of Neftys Pharma.  </w:t>
        <w:br/>
        <w:t xml:space="preserve">4. As it results in the exclusive control of the company Longimpex by the company Neftys Pharma, after the contribution of the wholesale distribution activities of veterinary products by the company Noé, the notified operation constitutes a concentration within the meaning of Article L. 430-1 of the Commercial Code.  </w:t>
        <w:br/>
        <w:t xml:space="preserve">5. The concerned companies achieved a consolidated turnover excluding taxes worldwide of more than 150 million euros in the last closed financial year (Alliando: 128.5 million euros for the financial year ending June 30, 2011; Longimpex: 57.76 million euros for the financial year ending June 30, 2011). Each of these companies achieved, in France, a turnover exceeding 50 million euros (Alliando: 124 million euros for the financial year ending June 30, 2011; Longimpex: 57.66 million euros for the financial year ending June 30, 2011). Given these turnover figures, the operation does not have a community dimension. However, the control thresholds mentioned in I of Article L. 430-2 of the Commercial Code are exceeded. This operation is therefore subject to the provisions of Articles L. 430-3 and following of the Commercial Code relating to economic concentration.  </w:t>
        <w:br/>
        <w:t xml:space="preserve">II. Definition of the relevant markets  </w:t>
        <w:br/>
        <w:t xml:space="preserve">6. The parties are active in both the animal nutrition sector and the animal health sector. However, only the latter will be analyzed as animal nutrition is residual in the parties' activities. Indeed, their combined turnover represents less than [0-5]% of the turnover of the sector.  </w:t>
        <w:br/>
        <w:t xml:space="preserve">7. The French and community competition authorities have examined concentrations in the animal health sector and in the wholesale distribution of pharmaceutical products, but they have not yet had the opportunity to examine the sector of veterinary product distribution.  </w:t>
        <w:br/>
        <w:t xml:space="preserve">8. In terms of regulation and market functioning, certain similarities can be noted between the wholesale distribution of medicines to pharmacies and the wholesale distribution of veterinary products. The wholesale distribution of veterinary products is subject to the oversight of the National Agency for Veterinary Medicines (ANMV), which depends on the National Agency for Food, Environmental and Occupational Health Safety (ANSES). The ANMV issues marketing authorizations, without which a medicine cannot be marketed in France. The notifying party has indicated that wholesalers of veterinary products are required to obtain approval from the ANMV and to meet a number of criteria including the use of approved premises, the obligation to hold in stock all veterinary medicines authorized for sale in France, the obligation to supply these medicines within 24 hours to all entitled parties in the territory declared to the administration, and the obligation to provide the requested medicine, with any product substitution being strictly prohibited. However, unlike the prices of human medicines, the prices of veterinary medicines are set freely.  </w:t>
        <w:br/>
        <w:t xml:space="preserve">9. In the case of Alliance Santé Distribution / Ouest Répartition Pharmaceutique mentioned above, the minister did not adopt a segmentation, particularly between "full-lining" distribution services and "short-lining" distribution services provided by wholesalers, on the grounds that this distinction is not recognized by law and that all wholesalers are supposed to offer a complete product range. The European Commission has considered this same segmentation, as well as those distinguishing customer categories (pharmacists, doctors, and hospitals) and product categories. However, it considered that there was a sufficient degree of substitutability and took into account a global market for wholesalers.  </w:t>
        <w:br/>
        <w:t xml:space="preserve">10. Regarding veterinary products, the parties consider it relevant to distinguish the activity of wholesalers from that of depositaries. However, a segmentation of this market by type of species for which the medicines are intended (swine, cattle, poultry, sheep), or distinguishing livestock from companion animals, does not seem justified to them because, on the one hand, as mentioned above, wholesalers are required to hold all veterinary products authorized for sale, and on the other hand, except for a few very specialized retailers, they mainly resell multi-species products.  </w:t>
        <w:br/>
        <w:t xml:space="preserve">11. Finally, a distinction according to customer categories also does not appear relevant, as wholesalers primarily sell the concerned products to veterinarians and, to a lesser extent, directly to groups of breeders, with distribution through pharmacies occupying only a marginal place.  </w:t>
        <w:br/>
        <w:t xml:space="preserve">12. Regarding the geographical market, the parties consider that the territory of intervention of wholesalers in veterinary medicines extends throughout France and that a regional segmentation such as that envisaged by national and community competition authorities for the wholesale distribution of human pharmaceutical products was not relevant. Nevertheless, they provided their market share for the regions where they are simultaneously present, namely the Grand Ouest (Brittany, Vendée, Mayenne, Normandy), the Centre/Rhône Valley (Charolais, Allier, Limousin, Cantal), the South-West, East/Franche-Comté, and the North.  </w:t>
        <w:br/>
        <w:t>13. There is no need to further specify the relevant market concerned by the operation, as the conclusions of the competitive analysis remain unchanged regardless of the delimitations retained.</w:t>
      </w:r>
    </w:p>
    <w:p>
      <w:r>
        <w:rPr>
          <w:b/>
        </w:rPr>
        <w:t>[Pages 4–4]</w:t>
      </w:r>
    </w:p>
    <w:p>
      <w:r>
        <w:t xml:space="preserve">III. Competitive Analysis  </w:t>
        <w:br/>
        <w:t xml:space="preserve">14. At the national level, the notifying party estimated that the market shares of the new entity would be below [0-5]% regarding depositary services and [10-20]% regarding the wholesaler-distributor activity. More than ten distributors are present in this market, the main ones being Alcyon ([30-40]% market share), Centravet ([20-30]%), and Coveto ([10-20]%).  </w:t>
        <w:br/>
        <w:t xml:space="preserve">15. At the regional level, the notifying party estimated that the shares of the new entity in the veterinary medicine wholesaler-distributor markets would be as follows:  </w:t>
        <w:br/>
        <w:t xml:space="preserve">New entity Alcyon Centravet Coveto Others  </w:t>
        <w:br/>
        <w:t xml:space="preserve">Great West [10-20]% [30-40]% [20-30]% [20-30]% [0-5]%  </w:t>
        <w:br/>
        <w:t xml:space="preserve">Center/Rhône Valley [10-20]% [30-40]% [30-40]% [0-5]% [10-20]%  </w:t>
        <w:br/>
        <w:t xml:space="preserve">South West [10-20]% [50-60]% [30-40]% [0-5]% [0-5]%  </w:t>
        <w:br/>
        <w:t xml:space="preserve">East/Franche Comté [10-20]% [30-40]% [30-40]% [5-10]% [5-10]%  </w:t>
        <w:br/>
        <w:t xml:space="preserve">North [10-20]% [50-60]% [10-20]% [10-20]% [0-5]%  </w:t>
        <w:br/>
        <w:t xml:space="preserve">Rest of France [10-20]% [30-40]% [20-30]% [10-20]% [10-20]%  </w:t>
        <w:br/>
        <w:t xml:space="preserve">16. Following the operation, the new entity will have, depending on the region concerned, a cumulative market share between [10-20]% and [10-20]%. It will continue to face competition from several operators, some of whom have significant market shares: depending on the region, Alcyon will have a market share between [30-40]% and [60-70]%, Centravet between [20-30]% and [30-40]%, and Coveto between [5-10]% and [20-30]%.  </w:t>
        <w:br/>
        <w:t xml:space="preserve">17. Finally, the cumulative shares of the parties in the segmented veterinary medicine wholesaler-distributor markets between livestock and companion animals will remain below [20-30]%.  </w:t>
        <w:br/>
        <w:t xml:space="preserve">18. In light of these elements, the operation is not likely to harm competition.  </w:t>
        <w:br/>
        <w:t xml:space="preserve">DECIDES  </w:t>
        <w:br/>
        <w:t xml:space="preserve">Sole Article: The operation notified under number 11-213 is authorized.  </w:t>
        <w:b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