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https://www.autoritedelaconcurrence.fr/fr/decision-de-controle-des-concentrations/relative-la-prise-de-controle-exclusif-de-la-societe-460</w:t>
      </w:r>
    </w:p>
    <w:p>
      <w:r>
        <w:t>Pages translated : 2</w:t>
      </w:r>
    </w:p>
    <w:p/>
    <w:p>
      <w:r>
        <w:rPr>
          <w:b/>
        </w:rPr>
        <w:t>[Pages 1–2]</w:t>
      </w:r>
    </w:p>
    <w:p>
      <w:r>
        <w:t>FRENCH REPUBLIC</w:t>
        <w:br/>
        <w:t>Decision No. 25-DCC-14 of January 17, 2025</w:t>
        <w:br/>
        <w:t>regarding the exclusive control acquisition of the company Codinog by the</w:t>
        <w:br/>
        <w:t>company Société d’Exploitation Amidis et Compagnie (Carrefour group)</w:t>
      </w:r>
    </w:p>
    <w:p>
      <w:r>
        <w:t>The Competition Authority,</w:t>
      </w:r>
    </w:p>
    <w:p>
      <w:r>
        <w:t>Having regard to the complete notification file submitted to the mergers department on</w:t>
        <w:br/>
        <w:t>December 24, 2024, concerning the exclusive control acquisition of the company Codinog by the company</w:t>
        <w:br/>
        <w:t>Société d’Exploitation Amidis et Compagnie, formalized by a promise of transfer of social rights signed on December 23, 2024;</w:t>
      </w:r>
    </w:p>
    <w:p>
      <w:r>
        <w:t>Having regard to Book IV of the Commercial Code relating to the freedom of prices and competition, and</w:t>
        <w:br/>
        <w:t>notably its Articles L. 430-1 to L. 430-7;</w:t>
      </w:r>
    </w:p>
    <w:p>
      <w:r>
        <w:t>Adopts the following decision:</w:t>
      </w:r>
    </w:p>
    <w:p>
      <w:r>
        <w:t>1. The notified operation consists of the acquisition by the company Société d’Exploitation Amidis et</w:t>
        <w:br/>
        <w:t>Compagnie, a 100% subsidiary of the Carrefour group, of 50% of the capital of the company Codinog, of which it already held half. The company Codinog owns a business establishment of the supermarket type with a service station under the Carrefour Market brand with a sales area of 2,200 m², operated in Nogaro (32). The operation constitutes a concentration within the meaning of Article L. 430-1 of the Commercial Code. Given the turnover achieved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24-337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