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https://www.autoritedelaconcurrence.fr/fr/decision-de-controle-des-concentrations/relative-la-prise-de-controle-exclusif-de-la-societe-463</w:t>
      </w:r>
    </w:p>
    <w:p>
      <w:r>
        <w:t>Pages translated : 2</w:t>
      </w:r>
    </w:p>
    <w:p/>
    <w:p>
      <w:r>
        <w:rPr>
          <w:b/>
        </w:rPr>
        <w:t>[Pages 1–2]</w:t>
      </w:r>
    </w:p>
    <w:p>
      <w:r>
        <w:t xml:space="preserve">FRENCH REPUBLIC  </w:t>
        <w:br/>
        <w:t xml:space="preserve">Decision No. 25-DCC-45 of March 5, 2025  </w:t>
        <w:br/>
        <w:t xml:space="preserve">regarding the exclusive control acquisition of the company Sveltic  </w:t>
        <w:br/>
        <w:t xml:space="preserve">by the company What’s Cooking  </w:t>
        <w:br/>
        <w:t xml:space="preserve">The Competition Authority,  </w:t>
        <w:br/>
        <w:t xml:space="preserve">Having regard to the complete notification file submitted to the mergers department on February 18, 2025,  </w:t>
        <w:br/>
        <w:t xml:space="preserve">concerning the exclusive control acquisition of the company Sveltic by the company What’s Cooking  </w:t>
        <w:br/>
        <w:t xml:space="preserve">formalized by a transfer contract signed on January 29,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What’s Cooking Belgium NV of  </w:t>
        <w:br/>
        <w:t xml:space="preserve">100% of the shares of the company Sveltic, which is active in the sector of prepared meals and catering products.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25-005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