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https://www.autoritedelaconcurrence.fr/fr/decision-de-controle-des-concentrations/relative-la-prise-de-controle-exclusif-de-la-societe-465</w:t>
      </w:r>
    </w:p>
    <w:p>
      <w:r>
        <w:t>Pages translated : 2</w:t>
      </w:r>
    </w:p>
    <w:p/>
    <w:p>
      <w:r>
        <w:rPr>
          <w:b/>
        </w:rPr>
        <w:t>[Pages 1–2]</w:t>
      </w:r>
    </w:p>
    <w:p>
      <w:r>
        <w:t xml:space="preserve">FRENCH REPUBLIC  </w:t>
        <w:br/>
        <w:t xml:space="preserve">Decision No. 25-DCC-69 of March 24, 2025  </w:t>
        <w:br/>
        <w:t xml:space="preserve">regarding the exclusive control acquisition of the company Badelle  </w:t>
        <w:br/>
        <w:t xml:space="preserve">by the company ITM Entreprises  </w:t>
        <w:br/>
        <w:t xml:space="preserve">The Competition Authority,  </w:t>
        <w:br/>
        <w:t xml:space="preserve">Having regard to the complete notification file sent to the mergers department on February 21, 2025,  </w:t>
        <w:br/>
        <w:t xml:space="preserve">concerning the exclusive control acquisition of the company Badelle by the company ITM Entreprises,  </w:t>
        <w:br/>
        <w:t xml:space="preserve">formalized by a letter of intent signed on February 17,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ITM Alimentaire International  </w:t>
        <w:br/>
        <w:t xml:space="preserve">Region North, with ITM Entreprises retaining a preferred share, of almost all the shares of the company Badelle, which operates a retail business predominantly in food under the Intermarché brand, with a surface area of 1,950 m², in the city of Noyelle-sous-Lens (62).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25-049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