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https://www.autoritedelaconcurrence.fr/fr/decision-de-controle-des-concentrations/relative-la-prise-de-controle-exclusif-de-la-societe-467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25-DCC-80 of April 7, 2025  </w:t>
        <w:br/>
        <w:t xml:space="preserve">regarding the exclusive control acquisition of the company Aubedial by ITM Enterprises  </w:t>
        <w:br/>
        <w:t xml:space="preserve">The Competition Authority,  </w:t>
        <w:br/>
        <w:t xml:space="preserve">Having regard to the complete notification file sent to the mergers department on March 10, 2025,  </w:t>
        <w:br/>
        <w:t xml:space="preserve">concerning the exclusive control acquisition of the company Aubedial by ITM Enterprises, formalized by  </w:t>
        <w:br/>
        <w:t xml:space="preserve">a share transfer promise dated December 31,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ITM Enterprises and its subsidiary ITM  </w:t>
        <w:br/>
        <w:t xml:space="preserve">Alimentaire International Centre Ouest of all the shares of the company Aubedial, which operates a business  </w:t>
        <w:br/>
        <w:t xml:space="preserve">of food distribution under the brand Intermarché, with a surface area of 2,500 m², located in Nueil les Aubiers (79). This operation constitutes  </w:t>
        <w:br/>
        <w:t xml:space="preserve">a concentration within the meaning of Article L. 430-1 of the Commercial Code. Given the turnover achieved by the companies concerned,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25-068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