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https://www.autoritedelaconcurrence.fr/fr/decision-de-controle-des-concentrations/relative-la-prise-de-controle-exclusif-de-la-societe-469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25-DCC-100 of April 28, 2025  </w:t>
        <w:br/>
        <w:t xml:space="preserve">regarding the exclusive control acquisition of Groupe Mecalac and  </w:t>
        <w:br/>
        <w:t xml:space="preserve">its subsidiaries by the Fayat group  </w:t>
        <w:br/>
        <w:t xml:space="preserve">The Competition Authority,  </w:t>
        <w:br/>
        <w:t xml:space="preserve">Having regard to the complete notification file submitted to the mergers department on April 1, 2025,  </w:t>
        <w:br/>
        <w:t xml:space="preserve">concerning the exclusive control acquisition of Groupe Mecalac and its subsidiaries by the Fayat group, formalized by a transfer agreement dated February 20,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Fayat company of 100% of the share capital and  </w:t>
        <w:br/>
        <w:t xml:space="preserve">voting rights of Groupe Mecalac, which is at the head of a group composed of  </w:t>
        <w:br/>
        <w:t xml:space="preserve">several companies specialized in the manufacture and marketing of construction equipment and, more particularly, compact construction machines. The operation  </w:t>
        <w:br/>
        <w:t xml:space="preserve">constitutes a concentration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25-092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